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Bienvenido al Capítulo Dos: Garantizando una Transición Justa para los Trabajadores y las Comunidades Afectadas.  </w:t>
      </w:r>
    </w:p>
    <w:p>
      <w:r>
        <w:t xml:space="preserve">La transición a la energía renovable va mucho más allá de la infraestructura. Abarca derechos, medios de vida y bienestar comunitario. Durante las últimas décadas, una amplia documentación de organizaciones internacionales e instituciones de investigación ha revelado desafíos persistentes y sistémicos relacionados con los proyectos de energía renovable. Estos incluyen la adquisición de tierras en disputa, el desplazamiento de comunidades y violaciones de derechos laborales en las cadenas de suministro de minerales que abastecen recursos críticos como el litio y el cobalto. Abordar estos desafíos requiere salvaguardas legales claras, mecanismos de cumplimiento y una participación activa de los grupos directamente afectados.  </w:t>
      </w:r>
    </w:p>
    <w:p>
      <w:r>
        <w:t xml:space="preserve">La participación es esencial para la legitimidad. El Consentimiento Libre, Previo e Informado se ha convertido en una herramienta importante para garantizar que los pueblos indígenas y las comunidades locales puedan influir en los proyectos energéticos desde el inicio. En Colombia, por ejemplo, el pueblo Wayúu trabaja a través de plataformas interculturales que reconocen los sistemas tradicionales de gobernanza e integran perspectivas de género en el diseño de los proyectos. Este tipo de colaboración ha reducido conflictos y ha permitido que las iniciativas renovables avancen en términos definidos conjuntamente con las comunidades.  </w:t>
      </w:r>
    </w:p>
    <w:p>
      <w:r>
        <w:t xml:space="preserve">Los acuerdos internacionales también configuran estándares de justicia. El Acuerdo de Escazú de dos mil dieciocho es el primer tratado regional en América Latina y el Caribe que establece compromisos jurídicamente vinculantes sobre el acceso a la información, la participación pública y la protección de los defensores del medio ambiente. Al vincular la gestión ambiental con los derechos civiles y políticos, crea un marco que puede guiar a los gobiernos nacionales en el equilibrio entre los objetivos climáticos y la equidad social.  </w:t>
      </w:r>
    </w:p>
    <w:p>
      <w:r>
        <w:t xml:space="preserve">El empleo es otra dimensión central. Las proyecciones de la Agencia Internacional de Energías Renovables estiman que el sector renovable global podría soportar más de treinta millones de empleos para dos mil treinta. Sin embargo, la creación de empleo ha sido desigual. Muchas posiciones están concentradas en economías avanzadas o centros urbanos, dejando a las regiones de carbón y petróleo sin alternativas claras. Abordar este desequilibrio requiere políticas que financien la capacitación, apoyen el emprendimiento local y fomenten la inversión en regiones económicamente dependientes de los combustibles fósiles.  </w:t>
      </w:r>
    </w:p>
    <w:p>
      <w:r>
        <w:t xml:space="preserve">La igualdad de género está estrechamente relacionada con estas cuestiones de inclusión. Actualmente, las mujeres representan menos de un tercio de la fuerza laboral en el sector de energía renovable y están significativamente subrepresentadas en roles de liderazgo. Los estudios muestran que medidas específicas—como becas para educación técnica, redes de mentoría y políticas laborales que consideren las responsabilidades de cuidado—mejoran la participación y el liderazgo de las mujeres. Estas medidas también fortalecen el rendimiento organizacional y amplían la base de habilidades disponibles para la transición energética.  </w:t>
      </w:r>
    </w:p>
    <w:p>
      <w:r>
        <w:t xml:space="preserve">La protección social completa el panorama. Sin redes de seguridad, los hogares que ya viven en pobreza corren el riesgo de ser aún más marginados durante períodos de aumento en los costos de energía o reestructuración económica. Subsidios bien diseñados y programas de transferencias monetarias, desarrollados con la participación de la comunidad y datos locales precisos, pueden prevenir la pobreza energética y mantener la estabilidad social durante la transición.  </w:t>
      </w:r>
    </w:p>
    <w:p>
      <w:r>
        <w:t>Este capítulo examina en detalle estas dimensiones sociales. Al finalizar, podrás identificar enfoques prácticos para proteger derechos, ampliar oportunidades y compartir de manera justa los beneficios de la energía limpia entre los trabajadores y las comunidades.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