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Cambio Climático y Adaptación.  </w:t>
      </w:r>
    </w:p>
    <w:p>
      <w:r>
        <w:t xml:space="preserve">En el capítulo anterior exploramos las vías de mitigación — cómo reducir las emisiones. En este capítulo cambiamos el enfoque hacia el otro lado de la ecuación climática: adaptarnos a los impactos que ya están aquí. Analizaremos cómo el cambio climático amenaza los sistemas energéticos y el acceso a la energía, y cómo construir resiliencia puede proteger a las comunidades, las economías y la transición misma.  </w:t>
      </w:r>
    </w:p>
    <w:p>
      <w:r>
        <w:t xml:space="preserve">Comenzaremos mapeando los riesgos. El calor extremo puede reducir la eficiencia de las plantas de energía, sobrecargar las redes durante picos de demanda y estresar las líneas de transmisión. Las inundaciones, tormentas y el aumento del nivel del mar amenazan las refinerías costeras, los oleoductos y las centrales eléctricas. Las sequías pueden reducir la producción hidroeléctrica y el agua de enfriamiento para las plantas térmicas. Al examinar estos riesgos físicos juntos, veremos dónde son más vulnerables los sistemas energéticos.  </w:t>
      </w:r>
    </w:p>
    <w:p>
      <w:r>
        <w:t xml:space="preserve">Luego, exploraremos estrategias de adaptación. Discutiremos el diseño de infraestructuras resilientes al clima, desde elevar subestaciones hasta fortalecer las redes. Analizaremos la diversificación de las mezclas energéticas para reducir la dependencia de un solo combustible o ubicación, y las soluciones descentralizadas y fuera de red que mantienen el suministro eléctrico cuando las redes centralizadas fallan. La integración del riesgo climático en la planificación energética y las decisiones de inversión será un tema recurrente.  </w:t>
      </w:r>
    </w:p>
    <w:p>
      <w:r>
        <w:t xml:space="preserve">Después, abordaremos cómo los sistemas energéticos resilientes pueden potenciar una adaptación más amplia — alimentando hospitales y centros de enfriamiento durante olas de calor, apoyando el riego en sequías y facilitando la respuesta y recuperación ante desastres.  </w:t>
      </w:r>
    </w:p>
    <w:p/>
    <w:p>
      <w:r>
        <w:t xml:space="preserve">Finalmente, examinaremos la necesidad de coherencia política, coordinación intersectorial y colaboración. Los Planes Nacionales de Adaptación deben integrar las prioridades del sector energético, y las estrategias energéticas deben anticipar futuros peligros climáticos. Alinear presupuestos, flujos de financiamiento climático, esquemas de seguros y bonos de resiliencia bajo un mismo marco evita la fragmentación y proporciona una señal clara a inversores, empresas de servicios públicos y comunidades. Igualmente importante, esta coordinación debe incluir las voces de los grupos vulnerables para garantizar que las medidas de adaptación sean justas, inclusivas y efectivas.  </w:t>
      </w:r>
    </w:p>
    <w:p>
      <w:r>
        <w:t>Vamos a profundizar y explorar cómo hacer que los sistemas energéticos estén preparados para el clima.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