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En este módulo, exploramos cómo la tecnología, la política y la innovación están transformando los sistemas energéticos globales.  </w:t>
      </w:r>
    </w:p>
    <w:p>
      <w:r>
        <w:t xml:space="preserve">La demanda de electricidad está creciendo rápidamente, impulsada por la urbanización, el cambio demográfico y una clase media en expansión en las economías emergentes. Esta oleada aumentará la necesidad de refrigeración, electrodomésticos y electrificación.  </w:t>
      </w:r>
    </w:p>
    <w:p>
      <w:r>
        <w:t xml:space="preserve">La digitalización y la inteligencia artificial pueden mejorar la eficiencia y permitir una gestión de la red más inteligente, pero también aumentan el consumo de energía y presentan riesgos de ciberseguridad, haciendo que la inversión en infraestructura resiliente sea esencial.  </w:t>
      </w:r>
    </w:p>
    <w:p>
      <w:r>
        <w:t xml:space="preserve">En el lado de la oferta, las energías renovables se están expandiendo rápidamente. Se espera que la energía solar fotovoltaica represente casi el 80 % de la nueva capacidad renovable hasta 2030, mientras que la energía eólica marina se proyecta que escale de aproximadamente 9,5 GW en 2023 a más de 45 GW anuales para 2030.  </w:t>
      </w:r>
    </w:p>
    <w:p>
      <w:r>
        <w:t xml:space="preserve">De cara al futuro, en caminos coherentes con limitar el calentamiento a 1,5°C, las energías renovables podrían proporcionar casi el 90 % de la electricidad global para 2050, con solo solar y eólica entregando aproximadamente el 70 %. Lograr esto requerirá una planificación cuidadosa para equilibrar el uso de la tierra, los impactos ambientales y la equidad social.  </w:t>
      </w:r>
    </w:p>
    <w:p>
      <w:r>
        <w:t>Esta transición presenta desafíos, pero también inmensas oportunidades. Políticas de apoyo, avances tecnológicos y estrategias inclusivas pueden acelerar la innovación, construyendo un futuro energético sostenible, resiliente y equitativo.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