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au Chapitre Deux : Assurer une transition juste pour les travailleurs et les communautés affectées.  </w:t>
      </w:r>
    </w:p>
    <w:p>
      <w:r>
        <w:t xml:space="preserve">La transition vers les énergies renouvelables va bien au-delà de l'infrastructure. Elle touche aux droits, aux moyens de subsistance et au bien-être des communautés. Au cours des dernières décennies, une documentation extensive par des organisations internationales et des institutions de recherche a révélé des défis persistants et systémiques liés aux projets d'énergie renouvelable. Ceux-ci incluent l'acquisition contestée de terres, le déplacement de communautés et les violations des droits du travail dans les chaînes d'approvisionnement en minéraux qui fournissent des ressources critiques telles que le lithium et le cobalt. Résoudre ces défis nécessite des garanties juridiques claires, des mécanismes d'application et une participation forte des groupes directement concernés.  </w:t>
      </w:r>
    </w:p>
    <w:p>
      <w:r>
        <w:t xml:space="preserve">La participation est essentielle à la légitimité. Le Consentement Libre, Préalable et Éclairé est devenu un outil important pour garantir que les peuples autochtones et les communautés locales puissent influencer les projets énergétiques dès le départ. En Colombie, par exemple, le peuple Wayúu travaille via des plateformes interculturelles qui reconnaissent les systèmes de gouvernance traditionnels et intègrent des perspectives de genre dans la conception des projets. Ce type de collaboration a réduit les conflits et permis aux initiatives renouvelables d’avancer selon des termes définis conjointement avec les communautés.  </w:t>
      </w:r>
    </w:p>
    <w:p>
      <w:r>
        <w:t xml:space="preserve">Les accords internationaux façonnent également les normes d’équité. L’Accord d’Escazú de 2018 est le premier traité régional en Amérique latine et dans les Caraïbes à établir des engagements juridiquement contraignants sur l’accès à l’information, la participation du public et la protection des défenseurs de l’environnement. En liant la gestion environnementale aux droits civils et politiques, il crée un cadre pouvant guider les gouvernements nationaux dans l’équilibre entre objectifs climatiques et équité sociale.  </w:t>
      </w:r>
    </w:p>
    <w:p>
      <w:r>
        <w:t xml:space="preserve">L’emploi est une autre dimension centrale. Les projections de l’Agence Internationale pour les Énergies Renouvelables estiment que le secteur mondial des énergies renouvelables pourrait soutenir plus de trente millions d’emplois d’ici 2030. Pourtant, la création d’emplois a été inégale. Beaucoup de postes sont concentrés dans les économies avancées ou les centres urbains, laissant les régions charbonnières et pétrolières sans alternatives claires. Résoudre ce déséquilibre nécessite des politiques qui financent la reconversion, soutiennent l’entrepreneuriat local et encouragent l’investissement dans les régions économiquement dépendantes des combustibles fossiles.  </w:t>
      </w:r>
    </w:p>
    <w:p>
      <w:r>
        <w:t xml:space="preserve">L’égalité des genres est étroitement liée à ces questions d’inclusion. Actuellement, les femmes représentent moins d’un tiers de la main-d’œuvre dans le secteur des énergies renouvelables et sont fortement sous-représentées dans les postes de direction. Les études montrent que des mesures ciblées — telles que des bourses pour l’éducation technique, des réseaux de mentorat et des politiques en milieu de travail prenant en compte les responsabilités de soins — améliorent la participation et le leadership des femmes. Ces mesures renforcent également la performance organisationnelle et élargissent le vivier de compétences disponibles pour la transition énergétique.  </w:t>
      </w:r>
    </w:p>
    <w:p>
      <w:r>
        <w:t xml:space="preserve">La protection sociale complète le tableau. Sans filets de sécurité, les ménages déjà en situation de pauvreté risquent d’être encore plus marginalisés lors des périodes de hausse des coûts de l’énergie ou de restructuration économique. Des subventions bien conçues et des programmes de transferts monétaires, élaborés avec la contribution des communautés et des données locales précises, peuvent prévenir la pauvreté énergétique et maintenir la stabilité sociale durant la transition.  </w:t>
      </w:r>
    </w:p>
    <w:p>
      <w:r>
        <w:t>Ce chapitre examine en détail ces dimensions sociales. À la fin, vous serez en mesure d’identifier des approches pratiques pour protéger les droits, élargir les opportunités et partager équitablement les bénéfices de l’énergie propre entre les travailleurs et les communautés.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