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Systèmes énergétiques et atténuation du changement climatique.  </w:t>
      </w:r>
    </w:p>
    <w:p>
      <w:r>
        <w:t xml:space="preserve">Dans ce chapitre, nous allons explorer d’où proviennent les émissions liées à l’énergie et comment elles peuvent être réduites. Nous commencerons par cartographier l’ensemble de la chaîne énergétique. Tout d’abord, nous examinerons la production — comment les combustibles sont extraits et transformés. Ensuite, nous passerons à la distribution — pipelines, transport maritime et réseaux électriques où des fuites et des pertes se produisent. Enfin, nous étudierons la combustion, lorsque les combustibles sont brûlés pour la chaleur, l’électricité et la mobilité. En parcourant toute la chaîne ensemble, nous identifierons les principales sources d’émissions et éviterons les angles morts.  </w:t>
      </w:r>
    </w:p>
    <w:p>
      <w:r>
        <w:t xml:space="preserve">Ensuite, nous décomposerons le système en ses principaux sous-secteurs et verrons d’où proviennent leurs émissions. Nous examinerons la production d’électricité, le transport, l’industrie, les bâtiments et l’utilisation des terres pour comprendre comment chacun contribue à l’ensemble et où se trouvent les plus grandes opportunités de réduction.  </w:t>
      </w:r>
    </w:p>
    <w:p>
      <w:r>
        <w:t xml:space="preserve">Nous discuterons également de la dépendance aux combustibles fossiles et du verrouillage carbone — pourquoi les actifs à longue durée de vie, les subventions et les routines intégrant des émissions augmentent les risques d’actifs échoués. Ensemble, nous verrons à quoi ressemble une transition juste : reconversion des compétences, diversification régionale, protection sociale et garanties de fiabilité.  </w:t>
      </w:r>
    </w:p>
    <w:p>
      <w:r>
        <w:t xml:space="preserve">Enfin, nous plongerons dans l’énergie renouvelable. Nous parlerons de son rôle dans la réduction des émissions opérationnelles proches de zéro, le renforcement de la sécurité énergétique et la stabilisation des prix. Et nous aborderons les obstacles — de la variabilité et de la capacité du réseau à la stockage, à l’approvisionnement en matériaux critiques, à l’implantation et au consentement communautaire — et montrerons comment des réseaux modernisés, des ressources flexibles, des portefeuilles d’énergies propres diversifiés, des chaînes d’approvisionnement responsables et une planification inclusive peuvent les surmonter.  </w:t>
      </w:r>
    </w:p>
    <w:p>
      <w:r>
        <w:t>Commençons.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