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Bem-vindo ao Capítulo Dois: Garantindo uma Transição Justa para Trabalhadores e Comunidades Atingidas.  </w:t>
      </w:r>
    </w:p>
    <w:p>
      <w:r>
        <w:t xml:space="preserve">A transição para energias renováveis vai muito além da infraestrutura. Ela toca direitos, meios de subsistência e o bem-estar das comunidades. Nas últimas décadas, uma extensa documentação de organizações internacionais e instituições de pesquisa revelou desafios persistentes e sistêmicos ligados a projetos de energia renovável. Estes incluem aquisição de terras contestada, deslocamento de comunidades e violações dos direitos trabalhistas nas cadeias de suprimento de minerais que fornecem recursos críticos como lítio e cobalto. Enfrentar esses desafios requer salvaguardas legais claras, mecanismos de fiscalização e forte participação dos grupos diretamente afetados.  </w:t>
      </w:r>
    </w:p>
    <w:p>
      <w:r>
        <w:t xml:space="preserve">A participação é essencial para a legitimidade. O Consentimento Livre, Prévio e Informado tornou-se uma ferramenta importante para garantir que povos indígenas e comunidades locais possam influenciar os projetos de energia desde o início. Na Colômbia, por exemplo, o povo Wayúu trabalha por meio de plataformas interculturais que reconhecem sistemas tradicionais de governança e integram perspectivas de gênero no desenho dos projetos. Esse tipo de colaboração reduziu conflitos e permitiu que iniciativas renováveis avançassem em termos definidos conjuntamente com as comunidades.  </w:t>
      </w:r>
    </w:p>
    <w:p>
      <w:r>
        <w:t xml:space="preserve">Acordos internacionais também moldam padrões de justiça. O Acordo de Escazú de dois mil e dezoito é o primeiro tratado regional na América Latina e no Caribe a estabelecer compromissos legalmente vinculantes sobre acesso à informação, participação pública e proteção de defensores ambientais. Ao vincular a gestão ambiental aos direitos civis e políticos, cria um quadro que pode orientar os governos nacionais no equilíbrio entre metas climáticas e equidade social.  </w:t>
      </w:r>
    </w:p>
    <w:p>
      <w:r>
        <w:t xml:space="preserve">O emprego é outra dimensão central. Projeções da Agência Internacional de Energia Renovável estimam que o setor global de energias renováveis pode gerar mais de trinta milhões de empregos até dois mil e trinta. No entanto, a criação de empregos tem sido desigual. Muitas posições estão concentradas em economias avançadas ou centros urbanos, deixando regiões de carvão e petróleo sem alternativas claras. Enfrentar esse desequilíbrio requer políticas que financiem requalificação, apoiem o empreendedorismo local e incentivem investimentos em regiões economicamente dependentes de combustíveis fósseis.  </w:t>
      </w:r>
    </w:p>
    <w:p>
      <w:r>
        <w:t xml:space="preserve">A igualdade de gênero está intimamente ligada a essas questões de inclusão. Atualmente, as mulheres representam menos de um terço da força de trabalho no setor de energia renovável e estão significativamente sub-representadas em cargos de liderança. Estudos mostram que medidas específicas — como bolsas de estudo para educação técnica, redes de mentoria e políticas no local de trabalho que considerem responsabilidades de cuidado — melhoram a participação e a liderança das mulheres. Essas medidas também fortalecem o desempenho organizacional e ampliam o conjunto de habilidades disponíveis para a transição energética.  </w:t>
      </w:r>
    </w:p>
    <w:p>
      <w:r>
        <w:t xml:space="preserve">A proteção social completa o quadro. Sem redes de segurança, famílias que já vivem na pobreza correm risco de serem ainda mais marginalizadas durante períodos de aumento nos custos de energia ou reestruturação econômica. Subsídios bem planejados e programas de transferência de renda, desenvolvidos com a participação da comunidade e dados locais precisos, podem prevenir a pobreza energética e manter a estabilidade social durante a transição.  </w:t>
      </w:r>
    </w:p>
    <w:p>
      <w:r>
        <w:t>Este capítulo examina essas dimensões sociais em detalhes. Ao final, você será capaz de identificar abordagens práticas para proteger direitos, ampliar oportunidades e compartilhar de forma justa os benefícios da energia limpa entre trabalhadores e comunidades.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