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Bem-vindo ao Capítulo Dois: “Pilares de uma Boa Governança Energética e Formulação de Políticas.”</w:t>
      </w:r>
    </w:p>
    <w:p>
      <w:r>
        <w:t>Este capítulo reúne os blocos essenciais para uma transição energética justa e eficaz. Começamos com como desenhar estruturas de políticas e regulamentações eficazes, introduzindo quatro elementos essenciais: adaptar as políticas ao contexto compreendendo as dinâmicas políticas, sociais e de gênero reais; garantir coerência entre setores para que as medidas se reforcem mutuamente, em vez de se contradizerem; adotar abordagens adaptativas e antecipatórias que incorporem previsão, flexibilidade e feedback; e fundamentar as decisões em dados sólidos e evidências por meio de avaliações de impacto e monitoramento. Juntas, essas práticas criam estruturas realistas, inclusivas e preparadas para o futuro, para uma transição energética justa.</w:t>
      </w:r>
    </w:p>
    <w:p>
      <w:r>
        <w:t>Em seguida, voltamos nossa atenção para transparência e supervisão, os pilares gêmeos da confiança pública. Dados energéticos abertos, precisos e oportunos permitem decisões informadas por parte de formuladores de políticas, investidores e comunidades. Supervisão interna e externa — desde unidades de conformidade regulatória até auditorias independentes, auditorias de gênero e revisões parlamentares — fornecem mecanismos de controle, detectam riscos e fortalecem a responsabilização. Quando as informações são acessíveis e compreensíveis, elas capacitam cidadãos e investidores e ajudam a atrair financiamento sustentável.</w:t>
      </w:r>
    </w:p>
    <w:p>
      <w:r>
        <w:t>Construir esses pilares também depende do fortalecimento de capacidades. Reforçar habilidades, sistemas e capacidades institucionais em todos os níveis permite que governos e partes interessadas coletem e analisem dados, apliquem padrões, gerenciem reformas complexas e envolvam comunidades de forma eficaz. Sem essa capacidade humana e institucional, mesmo as políticas mais bem elaboradas podem fracassar.</w:t>
      </w:r>
    </w:p>
    <w:p>
      <w:r>
        <w:t>Por fim, aplicamos esses princípios por meio de uma estrutura de governança testada na Nigéria. Ao mapear princípios centrais, como participação, equidade e supervisão independente, em relação a elementos de transição como infraestrutura, financiamento e impactos sociais, as partes interessadas criaram um “mapa de calor” para identificar lacunas, riscos e oportunidades.</w:t>
      </w:r>
    </w:p>
    <w:p>
      <w:r>
        <w:t>Vamos começar.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