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2: Criando um Ambiente Propício para uma Transição Energética Orientada pela Inovação.  </w:t>
      </w:r>
    </w:p>
    <w:p>
      <w:r>
        <w:t xml:space="preserve">Impulsionar a inovação na energia requer as condições certas: políticas eficazes, setores emergentes e estruturas inclusivas que tornem a transição limpa, resiliente e justa.  </w:t>
      </w:r>
    </w:p>
    <w:p>
      <w:r>
        <w:t xml:space="preserve">Mecanismos de política e mercado estão no centro. Ferramentas bem elaboradas — como precificação de carbono, comércio de emissões e incentivos direcionados — ajudam a superar barreiras, atrair capital privado e estimular a inovação ao longo do ciclo de vida da tecnologia. Um equilíbrio estratégico entre medidas de “empurrão tecnológico”, como subsídios ou créditos fiscais, e medidas de “atração de mercado”, como padrões e compras públicas, garante progresso enquanto se adapta ao contexto de cada país.  </w:t>
      </w:r>
    </w:p>
    <w:p>
      <w:r>
        <w:t xml:space="preserve">Setores emergentes estão remodelando possibilidades. Soluções distribuídas, como energia solar comunitária e micro-redes, estão se expandindo rapidamente, melhorando tanto o acesso quanto a resiliência. Novas tecnologias, incluindo comércio de energia peer-to-peer, plataformas de blockchain, células solares de próxima geração e energia oceânica, apresentam promessas especiais. Para pequenos Estados insulares e costeiros, inovações como energia das marés e solar flutuante podem diversificar a matriz energética, fortalecer a resiliência e alinhar-se aos objetivos da economia azul — se apoiadas por políticas direcionadas e investimentos.  </w:t>
      </w:r>
    </w:p>
    <w:p>
      <w:r>
        <w:t xml:space="preserve">Igualmente importantes são os modelos de propriedade local. Cooperativas de energia capacitam comunidades a reunir recursos, investir em projetos renováveis compartilhados e ganhar mais controle sobre seu fornecimento de energia. Esses modelos democratizam o acesso, criam empregos locais e mantêm receitas dentro das comunidades, ao mesmo tempo em que constroem resiliência de longo prazo em áreas rurais e carentes.  </w:t>
      </w:r>
    </w:p>
    <w:p>
      <w:r>
        <w:t xml:space="preserve">Por fim, a inclusão é fundamental. Abordagens que integram perspectivas de gênero, socioeconômicas e locais garantem que as transições beneficiem os mais vulneráveis. Estudos de caso de Eswatini mostram como políticas co-criadas e equitativas podem gerar resultados mais sustentáveis e justos.  </w:t>
      </w:r>
    </w:p>
    <w:p>
      <w:r>
        <w:t>Em resumo, criar um ambiente propício significa integrar governança inteligente, tecnologias emergentes e estruturas inclusivas. Juntos, esses elementos aceleram a inovação e garantem que a transição energética seja não apenas rápida, mas também justa e duradoura.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