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Главу Первую: Введение в ландшафт энергетического перехода.  </w:t>
      </w:r>
    </w:p>
    <w:p>
      <w:r>
        <w:t xml:space="preserve">По всему миру энергетические системы претерпевают глубокие изменения. Неотложность климатических изменений, вместе с падением стоимости возобновляемых технологий, поставила энергетический переход в центр глобальной политики и инвестиций. Климатологи подчеркивают, что десятилетие с 2020 по 2030 год будет решающим для ограничения глобального потепления до 1,5 градусов Цельсия, и действия, предпринятые в эти годы, сформируют будущее энергетики на поколения вперед.  </w:t>
      </w:r>
    </w:p>
    <w:p>
      <w:r>
        <w:t xml:space="preserve">Недавние данные показывают темпы прогресса. В 2024 году по всему миру было добавлено около семисот сорока гигаватт возобновляемой мощности. Это был самый большой ежегодный прирост за всю историю. Лидируют в этом росте солнечная и ветровая энергия, поддерживаемые достижениями в технологиях хранения и интеграции в сеть. Эти события отмечают структурные изменения в энергетическом балансе, при которых ископаемое топливо постепенно уступает место более чистым источникам.  </w:t>
      </w:r>
    </w:p>
    <w:p>
      <w:r>
        <w:t xml:space="preserve">Концепция справедливого энергетического перехода является центральной для понимания этого сдвига. Она подразумевает управление переходом от ископаемого топлива таким образом, чтобы он был экологически устойчивым, социально инклюзивным и экономически справедливым. Цель — исправить дисбалансы прошлых энергетических переходов, когда выгоды и бремя распределялись неравномерно. Справедливый переход требует планирования для работников и сообществ, чья жизнь зависит от ископаемого топлива, а также обеспечения того, чтобы преимущества более чистой энергии — такие как улучшение здоровья, новые рабочие места и доступность — достигали всех групп, особенно тех, кто исторически оставался за бортом.  </w:t>
      </w:r>
    </w:p>
    <w:p>
      <w:r>
        <w:t xml:space="preserve">Ключевым для этого является сильное управление. Энергетический переход — это не только установка солнечных панелей или строительство ветровых электростанций. Он также требует политики, институтов и регулирования, которые предвидят риски и справедливо делят возможности. Примеры включают долгосрочную подготовку кадров, финансовую поддержку развивающихся стран, снижающую зависимость от долгов, и участие общественности в принятии решений, дающее сообществам значимый голос.  </w:t>
      </w:r>
    </w:p>
    <w:p>
      <w:r>
        <w:t xml:space="preserve">Особенно сложными являются вызовы в странах Глобального Юга. Многие страны должны снизить зависимость от ископаемого топлива, одновременно расширяя доступ к электроэнергии и управляя давлением на землю и воду. В то же время они стремятся использовать экономические возможности, связанные с развитием отраслей вокруг критических минералов и возобновляемого производства. Эти цели требуют стратегий, которые одновременно амбициозны и адаптированы к каждому национальному контексту.  </w:t>
      </w:r>
    </w:p>
    <w:p>
      <w:r>
        <w:t>Эта глава познакомит вас с основными движущими силами глобального энергетического перехода, ключевыми участниками, формирующими его, и причинами, по которым справедливость и социальное включение теперь считаются важнейшими элементами энергетической политики. Эта база подготовит вас к более глубокому изучению возможностей и компромиссов, определяющих справедливый энергетический переход.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