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во Вторую главу: Обеспечение справедливого перехода для работников и пострадавших сообществ.  </w:t>
      </w:r>
    </w:p>
    <w:p>
      <w:r>
        <w:t xml:space="preserve">Переход к возобновляемой энергии выходит далеко за рамки инфраструктуры. Он затрагивает права, средства к существованию и благополучие сообщества. За последние десятилетия обширная документация международных организаций и исследовательских институтов выявила устойчивые и системные проблемы, связанные с проектами в области возобновляемой энергии. К ним относятся оспариваемое приобретение земель, выселение сообществ и нарушения трудовых прав в цепочках поставок минералов, таких как литий и кобальт, необходимых для производства критически важных ресурсов. Решение этих проблем требует четких правовых гарантий, механизмов их соблюдения и активного участия групп, непосредственно затронутых этими вопросами.  </w:t>
      </w:r>
    </w:p>
    <w:p>
      <w:r>
        <w:t xml:space="preserve">Участие является важнейшим элементом легитимности. Свободное, предварительное и информированное согласие стало важным инструментом обеспечения того, чтобы коренные народы и местные сообщества могли влиять на энергетические проекты с самого начала. Например, в Колумбии народ ваяю работает через межкультурные платформы, признающие традиционные системы управления и интегрирующие гендерные перспективы в проектирование. Такой вид сотрудничества снизил уровень конфликтов и позволил инициативам в области возобновляемой энергии развиваться на условиях, согласованных совместно с сообществами.  </w:t>
      </w:r>
    </w:p>
    <w:p>
      <w:r>
        <w:t xml:space="preserve">Международные соглашения также формируют стандарты справедливости. Соглашение Эсказю 2018 года — первый региональный договор в Латинской Америке и Карибском бассейне, устанавливающий юридически обязательные обязательства по доступу к информации, участию общественности и защите защитников окружающей среды. Связывая управление окружающей средой с гражданскими и политическими правами, оно создает рамки, которые могут помочь национальным правительствам сбалансировать климатические цели и социальную справедливость.  </w:t>
      </w:r>
    </w:p>
    <w:p>
      <w:r>
        <w:t xml:space="preserve">Занятость — еще одно важное измерение. По прогнозам Международного агентства по возобновляемым источникам энергии, глобальный сектор возобновляемой энергии может обеспечить более тридцати миллионов рабочих мест к 2030 году. Однако создание рабочих мест происходит неравномерно. Многие позиции сосредоточены в развитых экономиках или городских центрах, оставляя регионы угля и нефти без ясных альтернатив. Решение этой проблемы требует политики, финансирующей переподготовку, поддержки местного предпринимательства и стимулирующей инвестиции в регионы, экономически зависимые от ископаемого топлива.  </w:t>
      </w:r>
    </w:p>
    <w:p>
      <w:r>
        <w:t xml:space="preserve">Гендерное равенство тесно связано с вопросами инклюзии. В настоящее время женщины составляют менее трети рабочей силы в секторе возобновляемой энергии и значительно недопредставлены в руководящих должностях. Исследования показывают, что целенаправленные меры — такие как стипендии для технического образования, сети наставничества и политики на рабочем месте, учитывающие обязанности по уходу — улучшают участие женщин и их лидерство. Эти меры также повышают эффективность организаций и расширяют набор навыков, доступных для энергетического перехода.  </w:t>
      </w:r>
    </w:p>
    <w:p>
      <w:r>
        <w:t xml:space="preserve">Социальная защита дополняет картину. Без систем социальной поддержки домохозяйства, уже живущие в бедности, рискуют оказаться еще более маргинализированными в периоды роста цен на энергию или экономической перестройки. Хорошо продуманные субсидии и программы денежных переводов, разработанные с учетом мнения сообщества и точных местных данных, могут предотвратить энергетическую бедность и сохранить социальную стабильность во время перехода.  </w:t>
      </w:r>
    </w:p>
    <w:p>
      <w:r>
        <w:t>Эта глава подробно рассматривает эти социальные аспекты. В конце вы сможете определить практические подходы к защите прав, расширению возможностей и справедливому распределению преимуществ чистой энергии среди работников и сообществ.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