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欢迎来到第一章：能源转型格局导论。</w:t>
      </w:r>
    </w:p>
    <w:p>
      <w:r>
        <w:t>在全球范围内，能源系统正经历深刻变革。气候变化的紧迫性以及可再生技术成本的下降，使能源转型成为全球政策和投资的核心。气候科学家强调，从2020年到2030年的十年将是限制全球变暖至1.5摄氏度的关键时期，这些年的行动将塑造未来几代人的能源格局。</w:t>
      </w:r>
    </w:p>
    <w:p>
      <w:r>
        <w:t>最新数据显示了进展的速度。2024年，全球新增可再生能源容量约为740吉瓦，这是有史以来最大的一次年度增长。太阳能和风能引领这一增长，储能技术和电网整合的进步也提供了支持。这些发展标志着能源结构的根本性变化，化石燃料正逐步让位于更清洁的能源。</w:t>
      </w:r>
    </w:p>
    <w:p>
      <w:r>
        <w:t>“公平能源转型”的概念是理解这一变化的核心。它指的是以环境可持续、社会包容和经济公平的方式管理从化石燃料的转变。它旨在纠正过去能源转型中利益和负担分配不均的问题。公平转型需要为依赖化石燃料谋生的工人和社区进行规划，同时确保更清洁能源的益处——如改善健康、新的就业机会和负担得起的能源获取——惠及所有群体，尤其是那些历史上被边缘化的群体。</w:t>
      </w:r>
    </w:p>
    <w:p>
      <w:r>
        <w:t>强有力的治理是实现这一目标的关键。能源转型不仅仅是安装太阳能电池板或建设风电场。它还需要制定预见风险、共享机遇的政策、制度和法规。例如，长期的劳动力培训、对发展中国家的财政支持以减少债务依赖，以及赋予社区实质性发言权的参与式决策。</w:t>
      </w:r>
    </w:p>
    <w:p>
      <w:r>
        <w:t>在全球南方，挑战尤为复杂。许多国家必须减少对化石燃料的依赖，同时扩大电力普及率并应对土地和水资源的压力。与此同时，它们还希望通过发展关键矿产和可再生能源制造业来抓住经济机遇。这些目标需要既雄心勃勃又符合各国具体情况的战略。</w:t>
      </w:r>
    </w:p>
    <w:p>
      <w:r>
        <w:t>本章将介绍推动全球能源转型的主要动力、塑造这一转型的关键角色，以及为何公平和社会包容如今被视为能源政策的基本要素。这一基础将帮助你更深入地探索定义公平能源转型的机遇与权衡。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