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الأول: مقدمة لمشهد الانتقال الطاقي.</w:t>
      </w:r>
    </w:p>
    <w:p>
      <w:r>
        <w:t>تخضع أنظمة الطاقة في جميع أنحاء العالم لتغييرات عميقة. لقد جعلت الضرورة المناخية وانخفاض تكاليف الطاقة المتجددة الانتقال الطاقي محور السياسات والاستثمارات العالمية. العقد من 2020 إلى 2030 حاسم للحد من الاحترار إلى 1.5 درجة مئوية، حيث تشكل خيارات اليوم طاقة للأجيال القادمة.</w:t>
      </w:r>
    </w:p>
    <w:p>
      <w:r>
        <w:t>يتسارع التقدم. في عام 2024، تم إضافة أكثر من جيجاوات من الطاقة المتجددة—وهو أكبر زيادة سنوية مسجلة على الإطلاق. تتصدر الطاقة الشمسية وطاقة الرياح هذا النمو، مدعومة بتطورات في التخزين والشبكات. تتراجع الوقود الأحفوري تدريجيًا لصالح مصادر أنظف.</w:t>
      </w:r>
    </w:p>
    <w:p>
      <w:r>
        <w:t>يضمن الانتقال العادل أن يكون هذا التحول مستدامًا بيئيًا، وشاملًا اجتماعيًا، وعادلًا اقتصاديًا. يعالج الظلم السابق من خلال دعم العمال والمجتمعات التي تعتمد على الوقود الأحفوري، مع ضمان وصول فوائد الطاقة النظيفة—وظائف، صحة، وصول ميسور—إلى الجميع، خاصة من تم تهميشهم تاريخيًا.</w:t>
      </w:r>
    </w:p>
    <w:p>
      <w:r>
        <w:t>الحوكمة القوية ضرورية. بالإضافة إلى بناء البنية التحتية، يجب أن تتوقع السياسات والمؤسسات المخاطر وتشارك الفرص بشكل عادل. يشمل ذلك تدريب القوى العاملة، والتمويل الحساس للديون للدول النامية، ومشاركة المجتمع في اتخاذ القرارات.</w:t>
      </w:r>
    </w:p>
    <w:p>
      <w:r>
        <w:t>التحديات أكبر في الجنوب العالمي، حيث يتعين على الدول تقليل الاعتماد على الوقود الأحفوري مع توسيع الوصول إلى الكهرباء وإدارة ضغوط الأراضي والمياه. كما يسعى العديد منها لاغتنام الفرص في المعادن الحيوية والصناعات المتجددة—وهي أهداف تتطلب استراتيجيات طموحة ومخصصة للسياق.</w:t>
      </w:r>
    </w:p>
    <w:p>
      <w:r>
        <w:t>يقدم هذا الفصل مقدمة للعوامل الرئيسية التي تدفع الانتقال الطاقي العالمي، والأطراف التي تشكله، ولماذا أصبحت العدالة والشمول الآن جزءًا أساسيًا من سياسة الطاقة. ويضع الأساس لاستكشاف الفرص والتحديات التي ينطوي عليها الانتقال العادل.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