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2: القطاع العام وتمويل الطاقة المستدامة.</w:t>
      </w:r>
    </w:p>
    <w:p>
      <w:r>
        <w:t>في هذا الفصل نستكشف كيف يدعم العمل العام الانتقال إلى الطاقة النظيفة، خاصة في المناطق التي يندر فيها رأس المال الخاص. حول العالم، لا تمول الحكومات والمؤسسات المالية العامة المشاريع فحسب، بل تضع أيضًا السياسات الممكنة التي تجعل من استثمار الطاقة المستدامة أمرًا ممكنًا.</w:t>
      </w:r>
    </w:p>
    <w:p>
      <w:r>
        <w:t>الالتزام القوي من القطاع العام ضروري لتنفيذ سياسات مناخية طموحة، وجذب الاستثمارات الخاصة، وسد الفجوة التمويلية الهائلة. توضح دول مثل المغرب هذا النهج: السياسات المستهدفة، والقروض التيسيرية، والتمويل المدمج دعمت مجمعات شمسية كبيرة مثل نور ورزازات، مظهرة كيف يمكن للأموال العامة أن تحفز المشاركة الخاصة وتبني الفوائد المحلية.</w:t>
      </w:r>
    </w:p>
    <w:p>
      <w:r>
        <w:t>عنصر رئيسي هو الإصلاحات التنظيمية والمالية. التخلص التدريجي من دعم الوقود الأحفوري — الذي يشوه الأسواق، ويستنزف الميزانيات العامة، ويؤخر اعتماد الطاقة المتجددة — يحرر الموارد لمشاريع الطاقة النظيفة. عند اقترانه بتحويلات نقدية مستهدفة أو حماية اجتماعية، يمكن لإصلاح الدعم أن يحمي الأسر الضعيفة مع إعادة توجيه الإنفاق نحو استثمارات تعزز الأهداف المناخية والتنموية.</w:t>
      </w:r>
    </w:p>
    <w:p>
      <w:r>
        <w:t>مجال آخر أساسي هو إدارة المخاطر. تستخدم الحكومات والمؤسسات المالية التنموية بشكل متزايد تقييمات المخاطر المالية واختبارات الإجهاد لتحديد الثغرات، وتوقع الصدمات السوقية، وتقوية إدارة الاستثمارات العامة. تساعد هذه الأدوات على ضمان بقاء مشاريع الطاقة المتجددة مستقرة ماليًا ومرنة مع مرور الوقت.</w:t>
      </w:r>
    </w:p>
    <w:p>
      <w:r>
        <w:t>معًا، تعد هذه الاستراتيجيات — الاستثمار العام الاستراتيجي، والأطر السياسية السليمة، والتخفيف الاستباقي من المخاطر — العمود الفقري لتمويل الطاقة المستدامة. فهي تقلل من عدم اليقين، وتجذب رأس المال الخاص، وتسرع الانتقال على نطاق واسع الضروري لمستقبل عادل منخفض الكربون.</w:t>
      </w:r>
    </w:p>
    <w:p>
      <w:r>
        <w:t>ابق معنا ونحن نفكك هذه الأدوات ونوضح كيف يمكن للتمويل العام أن يحول الطموح إلى فعل.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