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مرحبًا بكم في الفصل 4: الأدوات المالية المبتكرة للطاقة المتجددة  </w:t>
      </w:r>
    </w:p>
    <w:p>
      <w:r>
        <w:t xml:space="preserve">تمويل التحول الطاقي يتطلب آليات قادرة على تعبئة مئات المليارات سنويًا. الأدوات المبتكرة تعيد تشكيل كيفية تدفق رأس المال إلى الطاقة المستدامة.  </w:t>
      </w:r>
    </w:p>
    <w:p>
      <w:r>
        <w:t xml:space="preserve">السندات الموضوعية—الخضراء، والاجتماعية، والاستدامة—توجه الأموال إلى مشاريع ذات نتائج قابلة للقياس. تجاوز إصدار السندات الخضراء العالمية 500 مليار دولار أمريكي في عام 2022، مع أُطُر مثل مبادئ السندات الخضراء التي تضمن الشفافية وثقة المستثمرين.  </w:t>
      </w:r>
    </w:p>
    <w:p>
      <w:r>
        <w:t xml:space="preserve">آليات تسعير الكربون—أنظمة تداول الانبعاثات والضرائب على الكربون—تخلق حوافز لخفض الانبعاثات. يعتمد نجاحها على التصميم الفعّال، والتحقق الدقيق، والحماية من الادعاءات الزائفة بالبيئة الخضراء.  </w:t>
      </w:r>
    </w:p>
    <w:p>
      <w:r>
        <w:t xml:space="preserve">التقنيات الرقمية تضيف زخمًا جديدًا. تعزز تقنية البلوكشين الشفافية وتمكن من التداول المباشر للطاقة بين الأقران، بينما تحسن تحليلات الذكاء الاصطناعي تقييم المخاطر وتوسع الوصول إلى الاستثمارات الخضراء.  </w:t>
      </w:r>
    </w:p>
    <w:p>
      <w:r>
        <w:t xml:space="preserve">مبادلات الديون مقابل الطاقة لديها القدرة على تقليل أعباء الديون مع تمويل مصادر الطاقة المتجددة. تتطلب هذه الترتيبات حوكمة قوية ودعم متعدد الأطراف لتجاوز العقبات التنظيمية ومعاملات التمويل.  </w:t>
      </w:r>
    </w:p>
    <w:p>
      <w:r>
        <w:t>معًا، يمكن لهذه الأدوات تعبئة تريليونات الدولارات، وتعزيز الثقة، وتسريع التحول نحو اقتصاد منخفض الكربون. يفحص هذا الفصل إمكاناتها، والتحديات، والاستراتيجيات لتعظيم الأثر.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