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p14">
  <w:body>
    <w:p xmlns:wp14="http://schemas.microsoft.com/office/word/2010/wordml" w:rsidP="3404DB90" w14:paraId="1657DCB1" wp14:textId="4308E09B">
      <w:p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Welcome to Chapter 2: Public Sector and Sustainable Energy Finance.</w:t>
      </w:r>
    </w:p>
    <w:p xmlns:wp14="http://schemas.microsoft.com/office/word/2010/wordml" w:rsidP="3404DB90" w14:paraId="251DD2C2" wp14:textId="00AA2A96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In this chapter we explore how 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public action underpins the clean-energy transition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particularly in regions where private capital is scarce. Around the world, governments and public financial institutions are not only funding projects but also 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creating 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the enabling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policies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that make sustainable energy investment possible.</w:t>
      </w:r>
    </w:p>
    <w:p xmlns:wp14="http://schemas.microsoft.com/office/word/2010/wordml" w:rsidP="3404DB90" w14:paraId="31B30E82" wp14:textId="4AB23B7F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Strong public-sector commitment is essential to implement ambitious climate policies, attract private investment, and close the enormous funding gap. Countries such as 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Morocco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illustrate this approach: targeted policies, concessional loans, and blended finance have supported large solar complexes like Noor Ouarzazate, showing how public funds can 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>catalyse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private participation and build local benefits.</w:t>
      </w:r>
    </w:p>
    <w:p xmlns:wp14="http://schemas.microsoft.com/office/word/2010/wordml" w:rsidP="3404DB90" w14:paraId="73A8D8BA" wp14:textId="09778830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 key element is 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regulatory and fiscal reform.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Phasing out fossil-fuel subsidies—which distort markets, drain public budgets, and delay renewable adoption—frees up resources for clean-energy projects. When paired with 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targeted cash transfers or social protection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>, subsidy reform can protect vulnerable households while redirecting spending to investments that advance climate and development goals.</w:t>
      </w:r>
    </w:p>
    <w:p xmlns:wp14="http://schemas.microsoft.com/office/word/2010/wordml" w:rsidP="3404DB90" w14:paraId="14FD0948" wp14:textId="1045B3C3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Another essential area is 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risk management.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Governments and development finance institutions are increasingly using 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fiscal-risk assessments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stress testing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>identify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vulnerabilities, 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>anticipate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market shocks, and strengthen public-investment management. These tools help ensure that renewable-energy projects 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>remain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financially stable and resilient over time.</w:t>
      </w:r>
    </w:p>
    <w:p xmlns:wp14="http://schemas.microsoft.com/office/word/2010/wordml" w:rsidP="3404DB90" w14:paraId="04AC91F6" wp14:textId="1E5A6F3D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Together, these strategies—strategic public investment, sound policy frameworks, and proactive risk mitigation—are the </w:t>
      </w:r>
      <w:r w:rsidRPr="3404DB90" w:rsidR="680C1FC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backbone of sustainable energy finance.</w:t>
      </w: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They reduce uncertainty, crowd in private capital, and accelerate the large-scale transition needed for a just, low-carbon future.</w:t>
      </w:r>
    </w:p>
    <w:p xmlns:wp14="http://schemas.microsoft.com/office/word/2010/wordml" w:rsidP="3404DB90" w14:paraId="488C53B3" wp14:textId="59ED4FF8">
      <w:pPr>
        <w:spacing w:before="240" w:beforeAutospacing="off" w:after="240" w:afterAutospacing="off"/>
      </w:pPr>
      <w:r w:rsidRPr="3404DB90" w:rsidR="680C1FC0">
        <w:rPr>
          <w:rFonts w:ascii="Cambria" w:hAnsi="Cambria" w:eastAsia="Cambria" w:cs="Cambria"/>
          <w:noProof w:val="0"/>
          <w:sz w:val="22"/>
          <w:szCs w:val="22"/>
          <w:lang w:val="en-US"/>
        </w:rPr>
        <w:t>Stay with us as we unpack these levers and show how public finance can turn ambition into action.</w:t>
      </w:r>
      <w:r w:rsidR="680C1FC0">
        <w:rPr/>
        <w:t xml:space="preserve"> </w:t>
      </w:r>
    </w:p>
    <w:p xmlns:wp14="http://schemas.microsoft.com/office/word/2010/wordml" w14:paraId="7652C61F" wp14:textId="224AC9CB">
      <w:pPr/>
    </w:p>
    <w:p xmlns:wp14="http://schemas.microsoft.com/office/word/2010/wordml" w14:paraId="03DECB60" wp14:textId="0607ADB5">
      <w:pPr/>
    </w:p>
    <w:p xmlns:wp14="http://schemas.microsoft.com/office/word/2010/wordml" w:rsidP="3404DB90" w14:paraId="182A09D7" wp14:textId="031157CC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48EF9C"/>
    <w:rsid w:val="0FBDA665"/>
    <w:rsid w:val="1611AFC3"/>
    <w:rsid w:val="3404DB90"/>
    <w:rsid w:val="43C39A00"/>
    <w:rsid w:val="680C1FC0"/>
    <w:rsid w:val="7897D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E13E72A-308F-4F4B-8B38-191AE12941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9AC726-8F21-4C51-BD7A-A60010BAC919}"/>
</file>

<file path=customXml/itemProps3.xml><?xml version="1.0" encoding="utf-8"?>
<ds:datastoreItem xmlns:ds="http://schemas.openxmlformats.org/officeDocument/2006/customXml" ds:itemID="{5941C786-CD12-42FE-8717-BD3BF47BB777}"/>
</file>

<file path=customXml/itemProps4.xml><?xml version="1.0" encoding="utf-8"?>
<ds:datastoreItem xmlns:ds="http://schemas.openxmlformats.org/officeDocument/2006/customXml" ds:itemID="{FC05EA3C-55F8-4465-837B-84697DC03F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Benjamin Keller</lastModifiedBy>
  <revision>4</revision>
  <dcterms:created xsi:type="dcterms:W3CDTF">2013-12-23T23:15:00.0000000Z</dcterms:created>
  <dcterms:modified xsi:type="dcterms:W3CDTF">2025-09-13T20:14:27.2784351Z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