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F2E6E" w14:textId="37427147" w:rsidR="00EA1F87" w:rsidRDefault="007505EE">
      <w:r>
        <w:t xml:space="preserve">Welcome to Chapter 3: Scaling Up Private Sector Investment in Sustainable Energy.  </w:t>
      </w:r>
    </w:p>
    <w:p w14:paraId="0A37501D" w14:textId="1D867015" w:rsidR="00EA1F87" w:rsidRDefault="1702BBDC">
      <w:r>
        <w:t>In this chapter, we’re focusing on how to mobilize the critical capital needed to accelerate the global energy transition. By 2030, it’s estimated that over four trillion dollars annually will be necessary to meet global clean energy targets. Public finance alone cannot bridge this vast funding gap. Instead, private sector investment must be scaled up significantly to unlock the innovations, deployment, and cost reductions essential for a sustainable energy future.</w:t>
      </w:r>
    </w:p>
    <w:p w14:paraId="5DAB6C7B" w14:textId="67C65D07" w:rsidR="00EA1F87" w:rsidRDefault="32F84355">
      <w:r>
        <w:t>Despite the clear need, private investment in renewable energy remains uneven across regions. While global investments are increasing, developing countries—despite their high renewable potential and urgent energy access needs—attract less than 15% of total clean energy investments as of 2023. This disparity highlights the barriers these regions face: high financial risks, underdeveloped markets, regulatory uncertainties, and infrastructure gaps all contribute to limited private sector participation.</w:t>
      </w:r>
    </w:p>
    <w:p w14:paraId="02EB378F" w14:textId="75DD0565" w:rsidR="00EA1F87" w:rsidRDefault="32F84355">
      <w:r>
        <w:t>To address these challenges, targeted solutions are crucial. Risk mitigation strategies—such as guarantees, insurance, and securitization—can lower perceived investment risks. For example, in Kazakhstan, policy reforms and financial de-risking unlocked private capital for renewable projects, demonstrating how effective interventions can create a more inviting investment environment.</w:t>
      </w:r>
    </w:p>
    <w:p w14:paraId="6A05A809" w14:textId="5195A804" w:rsidR="00EA1F87" w:rsidRDefault="32F84355">
      <w:r>
        <w:t>Another key approach is blended finance, which combines concessional public funds with private capital. By leveraging public resources to de-risk projects, blended finance makes high-impact clean energy projects more attractive for private investors. In Kenya, blended finance has successfully mobilized private funds into solar and wind initiatives, illustrating its potential in developing markets.</w:t>
      </w:r>
    </w:p>
    <w:p w14:paraId="5A39BBE3" w14:textId="7D25E500" w:rsidR="00EA1F87" w:rsidRDefault="7ACFF095">
      <w:r>
        <w:t>In summary, to meet the global clean energy investment target of over four trillion dollars annually by 2030, mobilizing private capital is indispensable. Addressing barriers through risk mitigation, innovative financing strategies, and policy reforms will be essential to unlock the investment needed for a sustainable energy future.</w:t>
      </w:r>
    </w:p>
    <w:p w14:paraId="04E840E8" w14:textId="77777777" w:rsidR="00EA1F87" w:rsidRDefault="007505EE">
      <w:r>
        <w:t>Now, let’s explore these strategies in greater detail in the upcoming lessons.</w:t>
      </w:r>
    </w:p>
    <w:sectPr w:rsidR="00EA1F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5857006">
    <w:abstractNumId w:val="1"/>
  </w:num>
  <w:num w:numId="2" w16cid:durableId="1555850672">
    <w:abstractNumId w:val="2"/>
  </w:num>
  <w:num w:numId="3" w16cid:durableId="170417872">
    <w:abstractNumId w:val="4"/>
  </w:num>
  <w:num w:numId="4" w16cid:durableId="490176223">
    <w:abstractNumId w:val="5"/>
  </w:num>
  <w:num w:numId="5" w16cid:durableId="702705964">
    <w:abstractNumId w:val="0"/>
  </w:num>
  <w:num w:numId="6" w16cid:durableId="740785661">
    <w:abstractNumId w:val="8"/>
  </w:num>
  <w:num w:numId="7" w16cid:durableId="859930282">
    <w:abstractNumId w:val="6"/>
  </w:num>
  <w:num w:numId="8" w16cid:durableId="86122741">
    <w:abstractNumId w:val="7"/>
  </w:num>
  <w:num w:numId="9" w16cid:durableId="89163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406"/>
    <w:rsid w:val="0029639D"/>
    <w:rsid w:val="00326F90"/>
    <w:rsid w:val="004867A2"/>
    <w:rsid w:val="005C292E"/>
    <w:rsid w:val="007505EE"/>
    <w:rsid w:val="009132DA"/>
    <w:rsid w:val="00AA1D8D"/>
    <w:rsid w:val="00B45998"/>
    <w:rsid w:val="00B45E78"/>
    <w:rsid w:val="00B47730"/>
    <w:rsid w:val="00CB0664"/>
    <w:rsid w:val="00D879D0"/>
    <w:rsid w:val="00E55AA2"/>
    <w:rsid w:val="00EA1F87"/>
    <w:rsid w:val="00FC693F"/>
    <w:rsid w:val="1702BBDC"/>
    <w:rsid w:val="32F84355"/>
    <w:rsid w:val="3A16EA12"/>
    <w:rsid w:val="4BB935DE"/>
    <w:rsid w:val="4C89032A"/>
    <w:rsid w:val="6188A037"/>
    <w:rsid w:val="6A78DF22"/>
    <w:rsid w:val="7ACFF0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3D882383-52A7-43EE-A3AE-141DCA996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7"/>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2"/>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94449e8ff35cec47b43afd2e381d9e90">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f7f21ad7dc1dad656b5a5a7699096a3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082C7C-5341-4F4B-9C59-1C9DD311C56A}">
  <ds:schemaRefs>
    <ds:schemaRef ds:uri="http://schemas.microsoft.com/office/2006/metadata/properties"/>
    <ds:schemaRef ds:uri="http://schemas.microsoft.com/office/infopath/2007/PartnerControls"/>
    <ds:schemaRef ds:uri="c8670835-afc4-4376-8ae0-1ffed5b27e6b"/>
    <ds:schemaRef ds:uri="b0bf4113-6f4a-4f3e-b5bb-503c4d9102e3"/>
  </ds:schemaRefs>
</ds:datastoreItem>
</file>

<file path=customXml/itemProps2.xml><?xml version="1.0" encoding="utf-8"?>
<ds:datastoreItem xmlns:ds="http://schemas.openxmlformats.org/officeDocument/2006/customXml" ds:itemID="{04F8AB24-D60F-4FB0-B723-4E6F90E0B4F9}">
  <ds:schemaRefs>
    <ds:schemaRef ds:uri="http://schemas.microsoft.com/sharepoint/v3/contenttype/forms"/>
  </ds:schemaRefs>
</ds:datastoreItem>
</file>

<file path=customXml/itemProps3.xml><?xml version="1.0" encoding="utf-8"?>
<ds:datastoreItem xmlns:ds="http://schemas.openxmlformats.org/officeDocument/2006/customXml" ds:itemID="{74578289-5048-44AE-8CAF-18B89D0866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bf4113-6f4a-4f3e-b5bb-503c4d9102e3"/>
    <ds:schemaRef ds:uri="c8670835-afc4-4376-8ae0-1ffed5b27e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337</Words>
  <Characters>1923</Characters>
  <Application>Microsoft Office Word</Application>
  <DocSecurity>4</DocSecurity>
  <Lines>16</Lines>
  <Paragraphs>4</Paragraphs>
  <ScaleCrop>false</ScaleCrop>
  <Manager/>
  <Company/>
  <LinksUpToDate>false</LinksUpToDate>
  <CharactersWithSpaces>2256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Farida Razaqi</cp:lastModifiedBy>
  <cp:revision>1</cp:revision>
  <dcterms:created xsi:type="dcterms:W3CDTF">2013-12-23T23:15:00Z</dcterms:created>
  <dcterms:modified xsi:type="dcterms:W3CDTF">2025-09-13T10:57:00Z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y fmtid="{D5CDD505-2E9C-101B-9397-08002B2CF9AE}" pid="5" name="docLang">
    <vt:lpwstr>en</vt:lpwstr>
  </property>
</Properties>
</file>