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dans le module 4 : Financer la transition énergétique juste  </w:t>
      </w:r>
    </w:p>
    <w:p>
      <w:r>
        <w:t xml:space="preserve">Les investissements mondiaux dans l’énergie à faible émission de carbone augmentent rapidement — plus de deux mille milliards de dollars américains en 2024 seulement — mais restent encore bien en dessous de ce qui est nécessaire pour atteindre les objectifs climatiques internationaux. Plus de la moitié de la population mondiale vit dans des marchés émergents et des économies en développement, mais ces régions attirent seulement une fraction des investissements dans l’énergie propre. Combler cet écart est essentiel pour éviter l’enfermement dans les combustibles fossiles, réduire les inégalités et réaliser une transition énergétique juste.  </w:t>
      </w:r>
    </w:p>
    <w:p>
      <w:r>
        <w:t xml:space="preserve">Ce module vous dote des connaissances et des outils pour comprendre et façonner le paysage financier derrière cette transition. Vous explorerez comment les flux d’investissements mondiaux, la dynamique du marché et les tendances technologiques transforment le financement de l’énergie durable — et pourquoi la bancabilité, la certitude réglementaire et la diversification des chaînes d’approvisionnement sont essentielles au succès. Vous examinerez comment l’action du secteur public pose les bases par le biais d’investissements stratégiques, de la réforme des subventions, de la gestion des risques et de politiques habilitantes qui attirent le capital privé et protègent les groupes vulnérables.  </w:t>
      </w:r>
    </w:p>
    <w:p>
      <w:r>
        <w:t xml:space="preserve">Vous verrez aussi comment la gestion des risques, le financement mixte et les réformes réglementaires peuvent débloquer des trillions de capitaux privés nécessaires, notamment dans des marchés à fort potentiel mais sous-desservis. Nous aborderons ensuite des instruments financiers innovants — obligations vertes et de durabilité, échanges de dettes contre énergie, tarification du carbone et outils numériques émergents — qui transforment la manière dont les projets renouvelables sont financés et surveillés. Enfin, nous mettons en avant des priorités transversales : construire des partenariats efficaces entre gouvernements, investisseurs et institutions internationales, et intégrer l’inclusion — en particulier l’équité entre les sexes — à chaque étape de l’investissement afin que la transition profite à tous.  </w:t>
      </w:r>
    </w:p>
    <w:p>
      <w:r>
        <w:t xml:space="preserve">Ensemble, ces éléments offrent une vision globale de la façon dont les politiques, le financement public, l’investissement privé et l’innovation interagissent pour impulser des solutions énergétiques durables à grande échelle. À la fin, vous serez capable d’analyser les tendances mondiales, d’évaluer les mécanismes de financement et de concevoir des stratégies qui mobilisent les ressources pour un avenir énergétique à faible émission de carbone et équitable.  </w:t>
      </w:r>
    </w:p>
    <w:p>
      <w:r>
        <w:t>Commençons le voyage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