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Introduction à la finance durable de l'énergie et à la dynamique du marché.  </w:t>
      </w:r>
    </w:p>
    <w:p>
      <w:r>
        <w:t xml:space="preserve">En 2024, l'investissement mondial dans la transition vers une énergie à faible émission de carbone a augmenté de 11 pour cent, atteignant un record de 2,1 trillions de dollars américains. Cela marque une accélération remarquable — mais reste encore en deçà des niveaux nécessaires pour atteindre les objectifs climatiques internationaux.  </w:t>
      </w:r>
    </w:p>
    <w:p>
      <w:r>
        <w:t xml:space="preserve">Les marchés émergents et les économies en développement en dehors de la Chine ne représentent qu'environ 15 pour cent de l'investissement mondial dans l'énergie propre, même s'ils abritent plus de la moitié de la population mondiale.  </w:t>
      </w:r>
    </w:p>
    <w:p>
      <w:r>
        <w:t xml:space="preserve">L'Afrique subsaharienne, par exemple, n'a reçu que 2 pour cent de l'investissement mondial dans l'énergie propre entre 2000 et 2024.  </w:t>
      </w:r>
    </w:p>
    <w:p>
      <w:r>
        <w:t xml:space="preserve">Ce déséquilibre risque d'enfermer les régions à fort potentiel dans une dépendance continue aux combustibles fossiles, aggravant les inégalités sociales et compromettant les objectifs climatiques.  </w:t>
      </w:r>
    </w:p>
    <w:p>
      <w:r>
        <w:t xml:space="preserve">De nombreux pays font face à une « triple pénalité » : des coûts de financement et des prix de l'électricité plus élevés, une forte dépendance aux combustibles fossiles importés, et un accès limité à la technologie et à la main-d'œuvre qualifiée — autant de facteurs qui compliquent leur transition énergétique.  </w:t>
      </w:r>
    </w:p>
    <w:p>
      <w:r>
        <w:t xml:space="preserve">Parallèlement, les marchés des énergies renouvelables se transforment rapidement. D'ici 2030, près de la moitié du mix électrique mondial devrait provenir de sources renouvelables, stimulé par la baisse des coûts technologiques, des politiques intelligentes et des modèles commerciaux innovants.  </w:t>
      </w:r>
    </w:p>
    <w:p>
      <w:r>
        <w:t xml:space="preserve">Cependant, la vulnérabilité des chaînes d'approvisionnement — notamment la dépendance à quelques pays pour les minéraux critiques — et les risques géopolitiques exigent une diversification des sources et une gestion responsable des ressources.  </w:t>
      </w:r>
    </w:p>
    <w:p>
      <w:r>
        <w:t xml:space="preserve">Les avancées technologiques telles que le stockage d'énergie, les réseaux intelligents et la digitalisation améliorent l'efficacité, la fiabilité et la participation des consommateurs, remodelant la dynamique du marché pour les producteurs, distributeurs, régulateurs et investisseurs.  </w:t>
      </w:r>
    </w:p>
    <w:p>
      <w:r>
        <w:t xml:space="preserve">Pour attirer les financements essentiels, les projets doivent être véritablement bancables — présentant des flux de trésorerie prévisibles, des structures financières solides et une conformité aux normes techniques, juridiques et sociales.  </w:t>
      </w:r>
    </w:p>
    <w:p>
      <w:r>
        <w:t xml:space="preserve">Surmonter les coûts élevés du capital, l'incertitude réglementaire et les lacunes en infrastructure est crucial, en particulier dans les économies émergentes.  </w:t>
      </w:r>
    </w:p>
    <w:p>
      <w:r>
        <w:t>Commençons.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