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Um: Introdução ao Panorama da Transição Energética.  </w:t>
      </w:r>
    </w:p>
    <w:p>
      <w:r>
        <w:t xml:space="preserve">Os sistemas de energia em todo o mundo estão passando por mudanças profundas. A urgência climática e a redução dos custos das renováveis tornaram a transição energética central na política e nos investimentos globais. A década de 2020 a 2030 é decisiva para limitar o aquecimento a 1,5°C, com as escolhas de hoje moldando a energia para as próximas gerações.  </w:t>
      </w:r>
    </w:p>
    <w:p>
      <w:r>
        <w:t xml:space="preserve">O progresso está acelerando. Em 2024, foram adicionados mais de gigawatts de energia renovável — o maior aumento anual já registrado. A solar e a eólica lideram esse crescimento, apoiadas por avanços em armazenamento e redes. Os combustíveis fósseis estão dando lugar de forma constante a fontes mais limpas.  </w:t>
      </w:r>
    </w:p>
    <w:p>
      <w:r>
        <w:t xml:space="preserve">Uma transição justa garante que essa mudança seja ambientalmente sustentável, socialmente inclusiva e economicamente justa. Ela aborda desigualdades passadas apoiando trabalhadores e comunidades dependentes de combustíveis fósseis, ao mesmo tempo em que assegura que os benefícios da energia limpa — empregos, saúde, acesso acessível — alcancem todos, especialmente aqueles que historicamente foram deixados para trás.  </w:t>
      </w:r>
    </w:p>
    <w:p>
      <w:r>
        <w:t xml:space="preserve">Uma governança forte é fundamental. Além de construir infraestrutura, políticas e instituições devem antecipar riscos e compartilhar oportunidades de forma equitativa. Isso inclui treinamento da força de trabalho, financiamento sensível à dívida para países em desenvolvimento e participação comunitária nas decisões.  </w:t>
      </w:r>
    </w:p>
    <w:p>
      <w:r>
        <w:t xml:space="preserve">Os desafios são maiores no Sul Global, onde os países precisam reduzir a dependência de combustíveis fósseis enquanto expandem o acesso à eletricidade e gerenciam pressões sobre a terra e a água. Muitos também buscam aproveitar oportunidades em minerais críticos e indústrias renováveis — metas que exigem estratégias ambiciosas e específicas para cada contexto.  </w:t>
      </w:r>
    </w:p>
    <w:p>
      <w:r>
        <w:t>Este capítulo apresenta os principais fatores que impulsionam a transição energética global, os atores que a moldam e por que a equidade e a inclusão agora são essenciais na política energética. Ele estabelece a base para explorar as oportunidades e os trade-offs de uma transição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