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Глава 1: Введение в устойчивое финансирование энергетики и динамику рынка.</w:t>
      </w:r>
    </w:p>
    <w:p>
      <w:r>
        <w:t>В 2024 году глобальные инвестиции в переход к низкоуглеродной энергетике выросли на 11 процентов, достигнув рекордных 2,1 триллиона долларов США. Это отмечает значительный скачок, но все еще не достигает уровней, необходимых для выполнения международных климатических целей. Развивающиеся рынки и экономики за пределами Китая составляют всего около 15 процентов глобальных инвестиций в чистую энергию, несмотря на то, что в них проживает более половины мирового населения. Например, в странах субсахарской Африки за период с 2000 по 2024 год было получено всего 2 процента от глобальных инвестиций в чистую энергию.</w:t>
      </w:r>
    </w:p>
    <w:p>
      <w:r>
        <w:t>Этот дисбаланс рискует закрепить за регионами с высоким потенциалом зависимость от ископаемого топлива, усугубляя социальное неравенство и подрывая климатические цели. Многие страны сталкиваются с «тройной санкцией»: повышенными затратами на финансирование и электроэнергию, сильной зависимостью от импортных ископаемых видов топлива и ограниченным доступом к технологиям и квалифицированной рабочей силе — все это усложняет их энергетический переход.</w:t>
      </w:r>
    </w:p>
    <w:p>
      <w:r>
        <w:t>В то же время рынки возобновляемых источников энергии быстро трансформируются. К 2030 году почти половина мирового энергобаланса, по прогнозам, будет формироваться за счет возобновляемых источников, чему способствуют снижение стоимости технологий, умные политики и инновационные бизнес-модели. Однако уязвимости цепочек поставок — особенно зависимость от нескольких стран в отношении критических минералов — и геополитические риски требуют диверсифицированных источников и ответственного управления ресурсами.</w:t>
      </w:r>
    </w:p>
    <w:p>
      <w:r>
        <w:t>Технологические достижения, такие как хранение энергии, умные сети и цифровизация, повышают эффективность системы, надежность и участие потребителей, переопределяя динамику рынка для производителей, дистрибьюторов, регуляторов и инвесторов.</w:t>
      </w:r>
    </w:p>
    <w:p>
      <w:r>
        <w:t>Чтобы привлечь необходимое финансирование, проекты должны быть по-настоящему банковскими — демонстрировать предсказуемые денежные потоки, надежные финансовые структуры и соответствие техническим, юридическим и социальным стандартам. Преодоление высоких капитальных затрат, регуляторной неопределенности и инфраструктурных пробелов особенно важно в развивающихся экономиках.</w:t>
      </w:r>
    </w:p>
    <w:p>
      <w:r>
        <w:t>Давайте начнем.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