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Главу 2: Государственный сектор и финансирование устойчивой энергетики.  </w:t>
      </w:r>
    </w:p>
    <w:p>
      <w:r>
        <w:t xml:space="preserve">В этой главе мы исследуем, как государственные меры поддерживают переход к чистой энергии, особенно в регионах, где частный капитал ограничен. По всему миру правительства и государственные финансовые институты не только финансируют проекты, но и создают стимулирующие политики, делающие возможными инвестиции в устойчивую энергию.  </w:t>
      </w:r>
    </w:p>
    <w:p>
      <w:r>
        <w:t xml:space="preserve">Крепкая приверженность государственного сектора необходима для реализации амбициозных климатических политик, привлечения частных инвестиций и сокращения огромного дефицита финансирования. Страны, такие как Марокко, иллюстрируют этот подход: целенаправленные политики, льготные кредиты и смешанное финансирование поддержали крупные солнечные комплексы, такие как Noor Ouarzazate, показывая, как государственные средства могут стимулировать участие частного сектора и создавать местные преимущества.  </w:t>
      </w:r>
    </w:p>
    <w:p>
      <w:r>
        <w:t xml:space="preserve">Ключевым элементом является регуляторная и налоговая реформа. Постепенный отказ от субсидий на ископаемое топливо — которые искажают рынки, истощают государственные бюджеты и задерживают внедрение возобновляемых источников энергии — освобождает ресурсы для проектов в области чистой энергии. В сочетании с целевыми денежными переводами или социальной защитой реформа субсидий может защитить уязвимые домохозяйства и одновременно перенаправить расходы на инвестиции, способствующие достижению климатических и социальных целей.  </w:t>
      </w:r>
    </w:p>
    <w:p>
      <w:r>
        <w:t xml:space="preserve">Еще одна важная область — управление рисками. Правительства и институты развития все чаще используют оценки фискальных рисков и стресс-тестирование для выявления уязвимостей, прогнозирования рыночных шоков и укрепления управления государственными инвестициями. Эти инструменты помогают обеспечить финансовую стабильность и устойчивость проектов в области возобновляемой энергии со временем.  </w:t>
      </w:r>
    </w:p>
    <w:p>
      <w:r>
        <w:t xml:space="preserve">Вместе эти стратегии — стратегические государственные инвестиции, надежные политические рамки и активное управление рисками — являются основой финансирования устойчивой энергетики. Они снижают неопределенность, привлекают частный капитал и ускоряют масштабный переход, необходимый для справедливого, низкоуглеродного будущего.  </w:t>
      </w:r>
    </w:p>
    <w:p>
      <w:r>
        <w:t>Оставайтесь с нами, чтобы разобраться в этих механизмах и показать, как государственное финансирование может превращать амбиции в действия.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