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3: Расширение частных инвестиций в устойчивую энергию.  </w:t>
      </w:r>
    </w:p>
    <w:p>
      <w:r>
        <w:t xml:space="preserve">В этой главе мы сосредоточимся на том, как мобилизовать необходимый капитал для ускорения глобального энергетического перехода. К 2030 году предполагается, что для достижения глобальных целей по чистой энергии потребуется более четырех триллионов долларов ежегодно. Только государственное финансирование не сможет закрыть этот огромный разрыв в финансировании. Вместо этого необходимо значительно увеличить инвестиции частного сектора, чтобы открыть инновации, развертывание и снижение затрат, необходимые для устойчивого энергетического будущего.  </w:t>
      </w:r>
    </w:p>
    <w:p>
      <w:r>
        <w:t xml:space="preserve">Несмотря на очевидную необходимость, частные инвестиции в возобновляемую энергию остаются неравномерными по регионам. В то время как глобальные инвестиции растут, развивающиеся страны — несмотря на их высокий потенциал в области возобновляемых источников и острые потребности в энергетическом доступе — привлекают менее 15% от общего объема инвестиций в чистую энергию по состоянию на 2023 год. Эта разница подчеркивает барьеры, с которыми сталкиваются эти регионы: высокие финансовые риски, недоразвитые рынки, регуляторные неопределенности и инфраструктурные пробелы — все это способствует ограниченному участию частного сектора.  </w:t>
      </w:r>
    </w:p>
    <w:p>
      <w:r>
        <w:t xml:space="preserve">Для решения этих проблем крайне важны целенаправленные решения. Стратегии снижения рисков — такие как гарантии, страхование и секьюритизация — могут снизить воспринимаемые инвестиционные риски. Например, в Казахстане реформы политики и финансовое снижение рисков привлекли част capital для возобновляемых проектов, демонстрируя, как эффективные меры могут создать более привлекательную инвестиционную среду.  </w:t>
      </w:r>
    </w:p>
    <w:p>
      <w:r>
        <w:t xml:space="preserve">Еще один важный подход — смешанное финансирование, которое сочетает льготные государственные средства с частным капиталом. Используя государственные ресурсы для снижения рисков проектов, смешанное финансирование делает проекты в области чистой энергии более привлекательными для частных инвесторов. В Кении смешанное финансирование успешно мобилизовало частные средства для солнечных и ветровых инициатив, что иллюстрирует его потенциал на развивающихся рынках.  </w:t>
      </w:r>
    </w:p>
    <w:p>
      <w:r>
        <w:t xml:space="preserve">В резюме, чтобы достичь глобальной цели по инвестициям в чистую энергию более четырех триллионов долларов ежегодно к 2030 году, необходимо мобилизовать частный капитал. Решение барьеров через снижение рисков, инновационные стратегии финансирования и реформы политики будет ключевым для открытия инвестиций, необходимых для устойчивого энергетического будущего.  </w:t>
      </w:r>
    </w:p>
    <w:p>
      <w:r>
        <w:t>Теперь давайте подробнее рассмотрим эти стратегии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