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欢迎来到第4单元：为公正能源转型提供融资  </w:t>
      </w:r>
    </w:p>
    <w:p>
      <w:r>
        <w:t xml:space="preserve">全球低碳能源投资正迅速增长——仅在2024年就超过了两万亿美元——但仍远低于实现国际气候目标所需的资金。世界上超过一半的人口生活在新兴市场和发展中经济体，但这些地区吸引的清洁能源投资仅占很小一部分。弥合这一差距对于避免化石燃料的锁定、减少不平等以及实现公正的能源转型至关重要。  </w:t>
      </w:r>
    </w:p>
    <w:p>
      <w:r>
        <w:t xml:space="preserve">本单元将为你提供理解和塑造这一转型背后金融格局的知识与工具。你将探索全球投资流动、市场动态和技术趋势如何重塑可持续能源金融——以及为何银行可行性、监管确定性和多元化供应链是成功的关键。你还将研究公共部门如何通过战略投资、补贴改革、风险管理和支持性政策奠定基础，吸引私人资本并保护脆弱群体。  </w:t>
      </w:r>
    </w:p>
    <w:p>
      <w:r>
        <w:t xml:space="preserve">你还将了解风险缓释、混合融资和监管改革如何释放数万亿的私人资本，特别是在潜力巨大但服务不足的市场中。接着，我们将深入探讨创新的金融工具——绿色债券和可持续发展债券、能源债务置换、碳定价以及新兴的数字工具——这些工具正在改变可再生能源项目的融资和监测方式。最后，我们强调跨领域的优先事项：建立政府、投资者和国际机构之间的有效合作伙伴关系，以及将包容性——尤其是性别平等——融入投资的每个阶段，确保转型惠及所有人。  </w:t>
      </w:r>
    </w:p>
    <w:p>
      <w:r>
        <w:t xml:space="preserve">这些元素共同提供了一个全面的视角，展示了政策、公共金融、私人投资和创新如何相互作用，以大规模推动可持续能源解决方案。到最后，你将能够分析全球趋势、评估融资机制，并设计动员资源实现低碳、公平能源未来的策略。  </w:t>
      </w:r>
    </w:p>
    <w:p>
      <w:r>
        <w:t>让我们开始这段旅程吧！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