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欢迎来到第2章：公共部门与可持续能源金融。</w:t>
      </w:r>
    </w:p>
    <w:p>
      <w:r>
        <w:t>在本章中，我们探讨公共行动如何支撑清洁能源转型，特别是在私营资本稀缺的地区。全球范围内，政府和公共金融机构不仅为项目提供资金，还制定促成可持续能源投资的政策环境。</w:t>
      </w:r>
    </w:p>
    <w:p>
      <w:r>
        <w:t>强有力的公共部门承诺对于实施雄心勃勃的气候政策、吸引私人投资以及弥合巨大的资金缺口至关重要。摩洛哥等国家的做法就是一个例证：有针对性的政策、优惠贷款和混合融资支持了如努尔·瓦尔扎扎特等大型太阳能项目，展示了公共资金如何激发私人参与并带来本地利益。</w:t>
      </w:r>
    </w:p>
    <w:p>
      <w:r>
        <w:t>一个关键因素是监管和财政改革。逐步取消化石燃料补贴——这些补贴扭曲市场、耗尽公共预算并延迟可再生能源的采用——可以释放资源用于清洁能源项目。当与有针对性的现金转移或社会保护措施结合时，补贴改革不仅可以保护脆弱家庭，还能将支出转向推动气候和发展目标的投资。</w:t>
      </w:r>
    </w:p>
    <w:p>
      <w:r>
        <w:t>另一个重要领域是风险管理。政府和发展金融机构越来越多地采用财政风险评估和压力测试，以识别脆弱性、预估市场冲击并加强公共投资管理。这些工具有助于确保可再生能源项目在财务上保持稳定和具有韧性。</w:t>
      </w:r>
    </w:p>
    <w:p>
      <w:r>
        <w:t>这些策略——战略性公共投资、健全的政策框架和积极的风险缓释——共同构成了可持续能源金融的支柱。它们降低不确定性，吸引私人资本，加快实现公平、低碳未来所需的大规模转型。</w:t>
      </w:r>
    </w:p>
    <w:p>
      <w:r>
        <w:t>请继续关注我们，了解这些杠杆如何将雄心转化为行动，以及公共金融如何助力实现目标。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