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 في درسك الأول من أكاديمية الطاقة المستدامة.</w:t>
      </w:r>
    </w:p>
    <w:p>
      <w:r>
        <w:t>كما تعلم، الطاقة هي محرك التقدم وتهديد متزايد للكوكب. فهي تزود المستشفيات والمدارس والاقتصادات بالطاقة — ومع ذلك، فإن الطريقة التي ننتج ونستهلك بها الطاقة تاريخيًا كانت وقودًا رئيسيًا لأزمة المناخ.</w:t>
      </w:r>
    </w:p>
    <w:p>
      <w:r>
        <w:t>على الرغم من أن مصادر الطاقة المتجددة تتوسع بسرعة، إلا أن استهلاك الوقود الأحفوري لا يزال في ارتفاع. هذه هي المفارقة: كيف يمكننا توسيع الوصول إلى الطاقة لرفع مستوى المعيشة لمليارات الناس — دون تقويض الأنظمة التي تدعم الحياة على الأرض؟</w:t>
      </w:r>
    </w:p>
    <w:p>
      <w:r>
        <w:t>في هذا الدرس، سنستكشف هذه التناقضات ونبدأ في تحديد الفرص لتسريع التحول الجاري. بحلول عام 2024، بلغ الاستثمار العالمي في تقنيات الطاقة النظيفة — من مصادر متجددة وتخزين إلى الشبكات والكهرباء — حوالي 2.1 تريليون دولار أمريكي، أي أكثر من ضعف المبلغ المستثمر في الوقود الأحفوري. على مدى العقد الماضي، انخفضت تكلفة الطاقة الشمسية بأكثر من 80 بالمئة، مما جعلها أرخص مصدر جديد للكهرباء في العديد من البلدان.</w:t>
      </w:r>
    </w:p>
    <w:p>
      <w:r>
        <w:t>لكن هل هذا التحول سريع بما يكفي — وهل هو عادل؟</w:t>
      </w:r>
    </w:p>
    <w:p>
      <w:r>
        <w:t>دعونا نفكك المعضلات التي تشكل مستقبل البشرية — ونستكشف ما يتطلبه الأمر لإنشاء تحول في الطاقة يكون عادلًا وشاملًا وتحويليًا.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