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الوحدة 2: الحالة الحالية، الاتجاهات، والعقبات أمام الوصول إلى الطاقة.  </w:t>
      </w:r>
    </w:p>
    <w:p>
      <w:r>
        <w:t xml:space="preserve">اليوم، سنستكشف الحالة الحالية لوصول الطاقة، والاتجاهات التي ستحدد مستقبل الوصول إلى الطاقة، والتحديات الرئيسية التي تعيق الوصول الشامل.  </w:t>
      </w:r>
    </w:p>
    <w:p>
      <w:r>
        <w:t xml:space="preserve">يبدأ الفصل برسم خريطة جغرافية لفجوات الوصول إلى الطاقة — عبر المناطق، والفواصل الريفية والحضرية، والبيئات الهشة، والمستوطنات غير الرسمية — ويتعمق في الحقائق الطبقية التي تشكل فقر الطاقة، من البنية التحتية غير الكافية إلى الاستبعاد الاجتماعي والاقتصادي.  </w:t>
      </w:r>
    </w:p>
    <w:p>
      <w:r>
        <w:t xml:space="preserve">كما يتجاوز الفصل الكهرباء، مسلطًا الضوء على الحاجة الملحة للطهي النظيف، والتدفئة، والتبريد. على سبيل المثال، حتى عام 2023، كان 74٪ فقط من السكان العالميين يتمتعون بوصول إلى الطهي النظيف.  </w:t>
      </w:r>
    </w:p>
    <w:p>
      <w:r>
        <w:t xml:space="preserve">سوف نناقش أيضًا بعض العقبات الرئيسية أمام التقدم، بما في ذلك البنية التحتية غير الكافية، اضطرابات سلسلة التوريد، توزيع الاستثمارات بشكل غير متوازن، وفشل السياسات أو الحوكمة.  </w:t>
      </w:r>
    </w:p>
    <w:p>
      <w:r>
        <w:t xml:space="preserve">مواجهة هذه التحديات تتطلب نهجًا مخصصًا — تعزيز البنية التحتية، وتحفيز الاستثمارات في المناطق المستهدفة، وتصميم سياسات تعطي أولوية للشمولية والقدرة على التحمل. فقط من خلال استراتيجيات شاملة ومخصصة للسياق يمكننا الاقتراب من هدف الوصول الشامل والمستدام إلى الطاقة بحلول عام 2030.  </w:t>
      </w:r>
    </w:p>
    <w:p>
      <w:r>
        <w:t>يضع هذا الفصل الأساس لفهم أين يقف العالم اليوم — وفرص التنمية التي تنتظرنا في سد فجوة الطاقة.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