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3: طائرة جت تحافظ على الطبيعة وتحفز النمو الاقتصادي.</w:t>
      </w:r>
    </w:p>
    <w:p>
      <w:r>
        <w:t>يمكن للتحول العادل إلى الطاقة المتجددة أن يفعل أكثر من تقليل الانبعاثات — يمكنه دفع التنمية المستدامة والنمو الاقتصادي، خاصة في الدول الغنية بالموارد.</w:t>
      </w:r>
    </w:p>
    <w:p>
      <w:r>
        <w:t>الطلب على المعادن الحيوية مثل الليثيوم والكوبالت والعناصر الأرضية النادرة يتزايد بسرعة. ارتفعت الاستثمارات العالمية في تطويرها بنسبة 30% في عام 2022 و10% في عام 2023، مدفوعة بالتقنيات المتجددة مثل البطاريات، وتوربينات الرياح، والألواح الشمسية. بالنسبة للدول الغنية بالموارد، هذا يوفر فرصًا اقتصادية كبيرة — ولكنه يحمل أيضًا مخاطر. الاستخراج مركّز جدًا في مناطق معينة، حيث تقع أكثر من نصفها على أراضي السكان الأصليين، مما يثير مخاوف بشأن الأضرار البيئية والتأثيرات الاجتماعية. المعايير الصارمة، والمساءلة، والتعاون الدولي ضروريون.</w:t>
      </w:r>
    </w:p>
    <w:p>
      <w:r>
        <w:t>يمكن أن تساعد أيضًا التعاونات الإقليمية. من خلال تجميع الموارد وتطوير الصناعات المحلية، يمكن للدول أن تتجاوز التصدير نحو قطاعات ذات قيمة مضافة مثل المعالجة وتصنيع البطاريات. على سبيل المثال، المغرب ومصر يضعان نفسيهما كمراكز للتصنيع المتجدد.</w:t>
      </w:r>
    </w:p>
    <w:p>
      <w:r>
        <w:t>وفي الوقت نفسه، تجلب الطاقة المتجددة تحديات بيئية. تنتج طاقة الرياح والطاقة الشمسية أقل بنسبة تصل إلى 90% من غازات الدفيئة مقارنة بالوقود الأحفوري على مدار دورة حياتها، لكن مزارع الرياح يمكن أن تعطل هجرة الطيور، وإنتاج الألواح الشمسية يستخدم مواد خطرة، وإعادة التدوير لا تزال محدودة. مشاريع الطاقة الكهرمائية الكبيرة، رغم انخفاض انبعاثاتها، يمكن أن تضر بالنظم البيئية للأنهار إذا لم تُدار بعناية.</w:t>
      </w:r>
    </w:p>
    <w:p>
      <w:r>
        <w:t>هناك حاجة إلى نهج شامل — واحد يعظم فوائد المناخ للطاقة المتجددة مع تقليل الضرر البيئي غير المقصود. من خلال تطوير سلسلة القيمة والاستثمار في الصناعات النهائية، يمكن للدول النامية خلق فرص عمل، وتقليل التكاليف، وبناء اقتصادات أكثر مرونة.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