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الوحدة 4: تمويل الانتقال العادل للطاقة</w:t>
      </w:r>
    </w:p>
    <w:p>
      <w:r>
        <w:t>يتزايد الاستثمار العالمي في الطاقة منخفضة الكربون بسرعة—أكثر من تريليونين من الدولارات الأمريكية في عام 2024 وحده—ومع ذلك لا يزال بعيدًا عن المستوى المطلوب لتحقيق الأهداف المناخية الدولية. يعيش أكثر من نصف سكان العالم في الأسواق الناشئة والاقتصادات النامية، لكن هذه المناطق تجذب فقط جزءًا بسيطًا من استثمارات الطاقة النظيفة. إن سد هذه الفجوة ضروري لتجنب الاعتماد المفرط على الوقود الأحفوري، وتقليل عدم المساواة، وتحقيق انتقال عادل للطاقة.</w:t>
      </w:r>
    </w:p>
    <w:p>
      <w:r>
        <w:t>تزودك هذه الوحدة بالمعرفة والأدوات لفهم وتشكيل المشهد المالي وراء ذلك الانتقال. ستستكشف كيف تعيد تدفقات الاستثمار العالمية، ديناميات السوق، واتجاهات التكنولوجيا تشكيل التمويل المستدام للطاقة—ولماذا تعتبر الجدارة الائتمانية، اليقين التنظيمي، وسلاسل التوريد المتنوعة عوامل رئيسية للنجاح. ستفحص كيف تضع الإجراءات القطاع العام الأساس من خلال الاستثمارات الاستراتيجية، إصلاح الدعم، إدارة المخاطر، والسياسات التمكينية التي تجذب رأس المال الخاص وتحمي الفئات الضعيفة.</w:t>
      </w:r>
    </w:p>
    <w:p>
      <w:r>
        <w:t>كما ستنظر في كيفية أن التخفيف من المخاطر، التمويل المدمج، والإصلاحات التنظيمية يمكن أن تفتح تريليونات من رأس المال الخاص المطلوب، خاصة في الأسواق ذات الإمكانات العالية ولكن غير المخدومة بشكل كافٍ. ثم نغوص في الأدوات المالية المبتكرة—السندات الخضراء وسندات الاستدامة، مقايضة الديون مقابل الطاقة، تسعير الكربون، والأدوات الرقمية الناشئة—التي تحول طريقة تمويل ومراقبة مشاريع الطاقة المتجددة. وأخيرًا، نسلط الضوء على الأولويات الشاملة: بناء شراكات فعالة بين الحكومات، المستثمرين، والمؤسسات الدولية، ودمج الشمول—لا سيما المساواة بين الجنسين—في كل مرحلة من مراحل الاستثمار بحيث يستفيد الجميع من الانتقال.</w:t>
      </w:r>
    </w:p>
    <w:p>
      <w:r>
        <w:t>معًا، توفر هذه العناصر رؤية شاملة لكيفية تفاعل السياسات، التمويل العام، الاستثمار الخاص، والابتكار لدفع حلول الطاقة المستدامة على نطاق واسع. بحلول النهاية، ستكون قادرًا على تحليل الاتجاهات العالمية، تقييم آليات التمويل، وتصميم استراتيجيات تحفز الموارد لمستقبل طاقة منخفضة الكربون وعادل.</w:t>
      </w:r>
    </w:p>
    <w:p>
      <w:r>
        <w:t>لنبدأ الرحلة!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