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مقدمة في التمويل المستدام للطاقة وديناميات السوق.</w:t>
      </w:r>
    </w:p>
    <w:p>
      <w:r>
        <w:t>في عام 2024، نما الاستثمار العالمي في التحول إلى الطاقة منخفضة الكربون بنسبة 11 في المائة، ليصل إلى رقم قياسي قدره 2.1 تريليون دولار أمريكي. وهذا يمثل تسارعًا ملحوظًا—لكن لا يزال أقل من المستويات اللازمة لتحقيق الأهداف المناخية الدولية. تمثل الأسواق الناشئة والاقتصادات النامية خارج الصين حوالي 15 في المائة فقط من الاستثمار العالمي في الطاقة النظيفة على الرغم من استضافتها لأكثر من نصف سكان العالم. على سبيل المثال، تلقت أفريقيا جنوب الصحراء فقط 2 في المائة من الاستثمار العالمي في الطاقة النظيفة بين عامي 2000 و2024.</w:t>
      </w:r>
    </w:p>
    <w:p>
      <w:r>
        <w:t>هذا الاختلال يهدد بإبقاء المناطق ذات الإمكانات العالية في الاعتماد المستمر على الوقود الأحفوري، مما يزيد من تفاقم التفاوتات الاجتماعية ويقوض الأهداف المناخية. تواجه العديد من الدول "عقوبة ثلاثية": تكاليف تمويل وأسعار كهرباء أعلى، اعتماد كبير على الوقود الأحفوري المستورد، وصول محدود إلى التكنولوجيا والعمالة الماهرة—وكل ذلك يعقد انتقالها الطاقي.</w:t>
      </w:r>
    </w:p>
    <w:p>
      <w:r>
        <w:t>وفي الوقت نفسه، تتغير أسواق الطاقة المتجددة بسرعة. بحلول عام 2030، من المتوقع أن يأتي ما يقرب من نصف مزيج الطاقة العالمي من مصادر متجددة، مدفوعًا بانخفاض تكاليف التكنولوجيا، والسياسات الذكية، ونماذج الأعمال المبتكرة. ومع ذلك، فإن نقاط الضعف في سلاسل التوريد—خصوصًا الاعتماد على عدد قليل من الدول للمعادن الحيوية—والمخاطر الجيوسياسية تتطلب تنويع مصادر الإمداد وإدارة الموارد بمسؤولية.</w:t>
      </w:r>
    </w:p>
    <w:p>
      <w:r>
        <w:t>التقدم التكنولوجي مثل تخزين الطاقة، والشبكات الذكية، والرقمنة يُحسن من كفاءة النظام وموثوقيته ومشاركة المستهلكين، مما يعيد تشكيل ديناميات السوق للمنتجين والموزعين والمنظمين والمستثمرين على حد سواء.</w:t>
      </w:r>
    </w:p>
    <w:p>
      <w:r>
        <w:t>لجذب التمويل الضروري، يجب أن تكون المشاريع قابلة للتمويل حقًا—مُظهرة تدفقات نقدية متوقعة، وهياكل مالية قوية، والامتثال للمعايير الفنية والقانونية والاجتماعية. إن التغلب على تكاليف رأس المال العالية، وعدم اليقين التنظيمي، والفجوات في البنية التحتية أمر حاسم، خاصة في الاقتصادات الناشئة.</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