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2: الطاقة المستدامة لتخفيف المناخ.</w:t>
      </w:r>
    </w:p>
    <w:p>
      <w:r>
        <w:t>في الفصل السابق، استعرضنا أنظمة الطاقة ومن أين تأتي الانبعاثات. الآن نتحول إلى الطريق القادم — المسارات التي يمكن أن تقلل فعلاً من تلك الانبعاثات. في هذا الفصل، سننظر في كيفية حدوث إزالة الكربون عبر الاقتصاد، والابتكارات التي تجعل ذلك ممكنًا، وكيف يمكن للكفاءة والطلب الأذكى أن يسرعا الانتقال.</w:t>
      </w:r>
    </w:p>
    <w:p>
      <w:r>
        <w:t>سنبدأ بقطاعات الاستخدام النهائي — النقل، الصناعة، الزراعة، والمباني. في الفصل السابق، رأينا انبعاثاتها؛ الآن سنفحص كيف يمكن للكهرباء، والوقود منخفض الكربون، وتغييرات العمليات أن تدفع بها نحو الانخفاض، خاصة في المناطق التي يصعب تقليل الانبعاثات فيها.</w:t>
      </w:r>
    </w:p>
    <w:p>
      <w:r>
        <w:t>ثم ننتقل إلى الابتكارات. سنسلط الضوء على الحلول الثورية مثل الهيدروجين الأخضر وتخزين الطاقة على نطاق واسع، ونرى كيف يمكن أن تكمل مصادر الطاقة المتجددة وتجعل إزالة الكربون العميقة ممكنة.</w:t>
      </w:r>
    </w:p>
    <w:p>
      <w:r>
        <w:t>بعد ذلك، سنتجه إلى كفاءة الطاقة وإدارة الطلب. سنستكشف كيف يمكن لـ "استخدام أقل" و"استخدام أذكى" — من خلال تصميم مباني أفضل، وعمليات صناعية أكثر كفاءة، وأنظمة نقل أذكى — أن توفر تخفيضات فورية في الانبعاثات مع تقليل التكاليف وتخفيف الضغط على البنية التحتية.</w:t>
      </w:r>
    </w:p>
    <w:p>
      <w:r>
        <w:t>لنبدأ في الاستكشاف.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