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الأول: الاتجاهات والعوائق للطاقة المتجددة في الجنوب العالمي.</w:t>
      </w:r>
    </w:p>
    <w:p>
      <w:r>
        <w:t>في جميع أنحاء الجنوب العالمي، يعيد الطاقة المتجددة تشكيل طريقة وصول المجتمعات إلى الكهرباء وبناء الفرص. في هذا الفصل، نستكشف النمو الديناميكي لطاقة الرياح والطاقة الشمسية، بالإضافة إلى صعود الحلول اللامركزية مثل الشبكات الصغيرة وأنظمة الطاقة الشمسية المنزلية. هذه التقنيات تدفع نحو الوصول إلى طاقة نظيفة، وتدعم التنمية الاقتصادية، وتساعد على سد فجوة الوصول إلى الكهرباء في المناطق التي لا يزال الملايين فيها يفتقرون إلى طاقة موثوقة.</w:t>
      </w:r>
    </w:p>
    <w:p>
      <w:r>
        <w:t>لكن الانتقال لا يخلو من التحديات. لا يزال الاستثمار في مصادر الطاقة المتجددة غير متساوٍ، حيث تواجه أفريقيا جنوب الصحراء وغيرها من المناطق النامية حواجز مستمرة. الفجوات التمويلية، قيود الشبكة، عدم اليقين السياسي، وقضايا القدرة على التحمل تواصل إبطاء التقدم. حتى مع انخفاض تكاليف التكنولوجيا وظهور نماذج أعمال جديدة، تكافح العديد من الدول لجذب الاستثمارات الخاصة اللازمة لتوسيع حلول الطاقة النظيفة.</w:t>
      </w:r>
    </w:p>
    <w:p>
      <w:r>
        <w:t>طوال هذا الفصل، ستكتشف كيف تشكل الاتجاهات العالمية والإقليمية مشهد الطاقة المتجددة. سننظر في العوامل وراء النمو الأخير، السياسات والبرامج التي أحدثت فرقًا، والعقبات التي لا تزال تعيق التقدم. من خلال فهم هذه الاتجاهات والعوائق، نضع الأساس لبقية هذا الوحدة — حيث سنستكشف كيف يمكن لاستراتيجيات تقليل المخاطر المستهدفة أن تفتح الاستثمارات وتسرع الانتقال إلى طاقة مستدامة وميسورة للجميع.</w:t>
      </w:r>
    </w:p>
    <w:p>
      <w:r>
        <w:t>لنبدأ رحلتنا في عالم الطاقة المتجددة المتطور في الجنوب العالمي.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