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3: إطار عمل DREI.</w:t>
      </w:r>
    </w:p>
    <w:p>
      <w:r>
        <w:t>كيف يمكن للدول تقليل مخاطر الاستثمار بشكل منهجي وتسريع نشر الطاقة المتجددة؟ في هذا الفصل، نأخذكم في رحلة عملية عبر إطار عمل DREI، نوجهكم خطوة بخطوة من خلال مكوناته الأساسية وتطبيقاته.</w:t>
      </w:r>
    </w:p>
    <w:p>
      <w:r>
        <w:t>نبدأ باستكشاف كيفية تقييم بيئة المخاطر لمشاريع الطاقة المتجددة، باستخدام التحليل المنظم ومشاركة أصحاب المصلحة لتحديد الحواجز التي تهم أكثر. ستتعلم كيف تساعد منهجية DREI في رسم خريطة لهذه المخاطر، وقياس تأثيرها على تكاليف التمويل، وتحديد الأولويات حيث الحاجة إلى اتخاذ إجراءات.</w:t>
      </w:r>
    </w:p>
    <w:p>
      <w:r>
        <w:t>بعد ذلك، نقدم أدوات الأدوات العامة—الإصلاحات السياسية، الضمانات المالية، والحوافز المستهدفة—التي يمكن للحكومات والشركاء استخدامها لمعالجة هذه المخاطر. سترى كيف يتم اختيار هذه التدخلات، ونمذجتها، وتقييم فعاليتها في تقليل تكلفة رأس المال وجعل المشاريع أكثر قابلية للتمويل.</w:t>
      </w:r>
    </w:p>
    <w:p>
      <w:r>
        <w:t>طوال هذا الفصل، ستصادف دراسات حالة تطبيقية وتحليلات سيناريو توضح كيف يمكن تطبيق إطار عمل DREI في سياقات مختلفة. تظهر هذه الأمثلة كيف يمكن تقليل مخاطر وتكاليف الاستثمار من خلال التدخلات المستهدفة، مما يوفر رؤى قيمة للسياسات والتخطيط.</w:t>
      </w:r>
    </w:p>
    <w:p>
      <w:r>
        <w:t>بنهاية هذا الفصل، ستفهم كيف تتحول النظرية إلى ممارسة—وكيف يمكن لإطار عمل DREI تمكين صانعي القرار من تصميم استراتيجيات قائمة على الأدلة لمستقبل مرن ومنخفض الكربون.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