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Bienvenido al Capítulo 4: Enfoques, Métodos y Herramientas para la Innovación Estratégica.  </w:t>
      </w:r>
    </w:p>
    <w:p>
      <w:r>
        <w:t xml:space="preserve">¿Cómo convertimos visiones audaces de transformación energética en resultados del mundo real?  </w:t>
      </w:r>
    </w:p>
    <w:p>
      <w:r>
        <w:t xml:space="preserve">La respuesta radica en los enfoques y herramientas que elegimos.  </w:t>
      </w:r>
    </w:p>
    <w:p>
      <w:r>
        <w:t xml:space="preserve">En este capítulo, exploraremos cuatro formas poderosas de trabajar que pueden hacer que la transición sea más inclusiva, equitativa y efectiva.  </w:t>
      </w:r>
    </w:p>
    <w:p>
      <w:r>
        <w:t xml:space="preserve">El enfoque de toda la sociedad reúne a todos en la mesa, incluidos gobiernos, comunidades y sector privado. Al trabajar juntos, las políticas se vuelven más inclusivas, las alianzas más fuertes y los resultados más duraderos.  </w:t>
      </w:r>
    </w:p>
    <w:p>
      <w:r>
        <w:t xml:space="preserve">Un enfoque basado en los derechos humanos redefine la energía como algo más que acceso; es un derecho fundamental. Esto garantiza que la dignidad, la equidad y la inclusión social permanezcan en el centro de cada iniciativa.  </w:t>
      </w:r>
    </w:p>
    <w:p>
      <w:r>
        <w:t xml:space="preserve">La integración de género nos recuerda que las mujeres y los grupos marginados a menudo enfrentan las mayores barreras para acceder a la energía. Al poner el género en el corazón del diseño de proyectos, podemos desbloquear oportunidades y crear sistemas más justos para todos.  </w:t>
      </w:r>
    </w:p>
    <w:p>
      <w:r>
        <w:t xml:space="preserve">Y el enfoque interseccional va un paso más allá, mostrando cómo los ingresos, la geografía, la raza y otros factores se superponen para moldear el acceso a la energía. Esta perspectiva ayuda a adaptar soluciones a las realidades de la vida de las personas.  </w:t>
      </w:r>
    </w:p>
    <w:p>
      <w:r>
        <w:t xml:space="preserve">Al aplicar estas estrategias, podemos acelerar la transición energética global y garantizar que no solo proporcione energía limpia, sino también justicia, equidad y oportunidades.  </w:t>
      </w:r>
    </w:p>
    <w:p>
      <w:r>
        <w:t>Comencemos y descubramos cómo estos enfoques transformadores pueden convertir ideas en impacto.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