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Un JET que Preserva la Naturaleza y Cataliza el Crecimiento Económico.  </w:t>
      </w:r>
    </w:p>
    <w:p>
      <w:r>
        <w:t xml:space="preserve">Una transición justa hacia las energías renovables puede hacer más que reducir las emisiones — puede impulsar el desarrollo sostenible y el crecimiento económico, especialmente en naciones ricas en recursos.  </w:t>
      </w:r>
    </w:p>
    <w:p>
      <w:r>
        <w:t xml:space="preserve">La demanda de minerales críticos como litio, cobalto y elementos de tierras raras está en auge. La inversión global en su desarrollo aumentó un 30% en 2022 y un 10% en 2023, impulsada por tecnologías renovables como baterías, aerogeneradores y paneles solares. Para los países ricos en recursos, esto ofrece grandes oportunidades económicas — pero también riesgos. La extracción está muy concentrada en ciertas regiones, con más de la mitad en tierras indígenas, lo que genera preocupaciones sobre daños ambientales e impactos sociales. Es esencial contar con estándares sólidos, responsabilidad y cooperación internacional.  </w:t>
      </w:r>
    </w:p>
    <w:p>
      <w:r>
        <w:t xml:space="preserve">La colaboración regional también puede ayudar. Al unir recursos y desarrollar industrias locales, los países pueden avanzar más allá de las exportaciones hacia sectores de valor agregado como el procesamiento y la fabricación de baterías. Marruecos y Egipto, por ejemplo, se están posicionando como centros de fabricación de energías renovables.  </w:t>
      </w:r>
    </w:p>
    <w:p>
      <w:r>
        <w:t xml:space="preserve">Al mismo tiempo, las energías renovables presentan desafíos ambientales. Los parques eólicos y solares emiten hasta un 90% menos de gases de efecto invernadero que los combustibles fósiles durante su ciclo de vida, pero los parques eólicos pueden alterar la migración de aves, la producción de paneles solares utiliza materiales peligrosos y el reciclaje sigue siendo limitado. Los grandes proyectos hidroeléctricos, aunque con bajas emisiones, pueden dañar los ecosistemas fluviales si no se gestionan cuidadosamente.  </w:t>
      </w:r>
    </w:p>
    <w:p>
      <w:r>
        <w:t>Se necesita un enfoque integral — uno que maximice los beneficios climáticos de las energías renovables mientras minimiza los daños ecológicos no intencionados. Al avanzar en la cadena de valor e invertir en industrias downstream, las naciones en desarrollo pueden crear empleos, reducir costos y construir economías más resilientes.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