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4: Gobernanza Estratégica y Modelos de Asociación para Transiciones Energéticas Justas.  </w:t>
      </w:r>
    </w:p>
    <w:p>
      <w:r>
        <w:t xml:space="preserve">Un cambio energético justo y sostenible requiere más que tecnología — exige una gobernanza sólida, políticas inclusivas y financiamiento que priorice la equidad.  </w:t>
      </w:r>
    </w:p>
    <w:p>
      <w:r>
        <w:t xml:space="preserve">El enfoque del PNUD incorpora la inclusividad en estrategias nacionales como planes energéticos y compromisos climáticos, asegurando que los grupos vulnerables — incluyendo mujeres, jóvenes y trabajadores informales — compartan los beneficios.  </w:t>
      </w:r>
    </w:p>
    <w:p>
      <w:r>
        <w:t xml:space="preserve">Herramientas basadas en datos como el Modelo de Evaluación de Empleos Verdes ayudan a los gobiernos a anticipar impactos y diseñar medidas que protejan a las comunidades.  </w:t>
      </w:r>
    </w:p>
    <w:p>
      <w:r>
        <w:t xml:space="preserve">La democracia energética destaca la gobernanza participativa, donde las comunidades tienen voz y acceso equitativo a los recursos.  </w:t>
      </w:r>
    </w:p>
    <w:p>
      <w:r>
        <w:t xml:space="preserve">En Puerto Rico, proyectos liderados por la comunidad, como instalaciones hidroeléctricas reutilizadas, muestran cómo la propiedad local puede aumentar la resiliencia cuando se apoyan en políticas facilitadoras.  </w:t>
      </w:r>
    </w:p>
    <w:p>
      <w:r>
        <w:t xml:space="preserve">Las Asociaciones para una Transición Energética Justa movilizan financiamiento público y privado para eliminar gradualmente el carbón y modernizar las redes.  </w:t>
      </w:r>
    </w:p>
    <w:p>
      <w:r>
        <w:t xml:space="preserve">En Indonesia, por ejemplo, grupos de trabajo dedicados ayudan a alinear el financiamiento con las prioridades locales, enfatizando la transparencia y la justicia social.  </w:t>
      </w:r>
    </w:p>
    <w:p>
      <w:r>
        <w:t>Juntos, la gobernanza y las asociaciones son la base de una transición justa — una que une los objetivos climáticos con la equidad, la oportunidad y la sostenibilidad.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