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Escalando la inversión del sector privado en energía sostenible.  </w:t>
      </w:r>
    </w:p>
    <w:p>
      <w:r>
        <w:t xml:space="preserve">En este capítulo, nos enfocamos en cómo movilizar el capital crítico necesario para acelerar la transición energética global. Para 2030, se estima que será necesario más de cuatro billones de dólares anuales para cumplir con los objetivos mundiales de energía limpia. La financiación pública por sí sola no puede cerrar esta enorme brecha de financiamiento. En cambio, la inversión del sector privado debe aumentarse significativamente para desbloquear las innovaciones, implementaciones y reducciones de costos esenciales para un futuro energético sostenible.  </w:t>
      </w:r>
    </w:p>
    <w:p>
      <w:r>
        <w:t xml:space="preserve">A pesar de la clara necesidad, la inversión privada en energías renovables sigue siendo desigual entre regiones. Aunque las inversiones globales están en aumento, los países en desarrollo—a pesar de su alto potencial renovable y sus urgentes necesidades de acceso a la energía—atraen menos del 15% del total de inversiones en energía limpia a partir de 2023. Esta disparidad resalta las barreras que enfrentan estas regiones: altos riesgos financieros, mercados poco desarrollados, incertidumbres regulatorias y brechas en infraestructura, que contribuyen a una participación limitada del sector privado.  </w:t>
      </w:r>
    </w:p>
    <w:p>
      <w:r>
        <w:t xml:space="preserve">Para abordar estos desafíos, las soluciones específicas son cruciales. Las estrategias de mitigación de riesgos—como garantías, seguros y titulización—pueden reducir los riesgos percibidos de inversión. Por ejemplo, en Kazajistán, reformas políticas y la des-riesgación financiera desbloquearon capital privado para proyectos renovables, demostrando cómo las intervenciones efectivas pueden crear un entorno de inversión más atractivo.  </w:t>
      </w:r>
    </w:p>
    <w:p>
      <w:r>
        <w:t xml:space="preserve">Otra estrategia clave es la financiación combinada, que combina fondos públicos concesionales con capital privado. Al aprovechar los recursos públicos para reducir los riesgos de los proyectos, la financiación combinada hace que los proyectos de energía limpia de alto impacto sean más atractivos para los inversores privados. En Kenia, la financiación combinada ha movilizado con éxito fondos privados en iniciativas solares y eólicas, ilustrando su potencial en mercados en desarrollo.  </w:t>
      </w:r>
    </w:p>
    <w:p>
      <w:r>
        <w:t xml:space="preserve">En resumen, para alcanzar el objetivo global de inversión en energía limpia de más de cuatro billones de dólares anuales para 2030, es indispensable movilizar capital privado. Abordar las barreras mediante estrategias de mitigación de riesgos, financiamiento innovador y reformas políticas será esencial para desbloquear la inversión necesaria para un futuro energético sostenible.  </w:t>
      </w:r>
    </w:p>
    <w:p>
      <w:r>
        <w:t>Ahora, exploremos estas estrategias con mayor detalle en las próximas lecciones.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