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4: Instrumentos Financieros Innovadores para la Energía Renovable  </w:t>
      </w:r>
    </w:p>
    <w:p>
      <w:r>
        <w:t xml:space="preserve">Financiar la transición energética requiere mecanismos capaces de movilizar cientos de miles de millones anualmente. Los instrumentos innovadores están transformando la forma en que fluye el capital hacia la energía sostenible.  </w:t>
      </w:r>
    </w:p>
    <w:p>
      <w:r>
        <w:t xml:space="preserve">Los bonos temáticos—verdes, sociales y de sostenibilidad—dirigen fondos a proyectos con resultados medibles. La emisión global de bonos verdes superó los USD 500 mil millones en 2022, con marcos como los Principios de Bonos Verdes que garantizan transparencia y confianza de los inversores.  </w:t>
      </w:r>
    </w:p>
    <w:p>
      <w:r>
        <w:t xml:space="preserve">Los mecanismos de fijación de precios del carbono—sistemas de comercio de emisiones e impuestos al carbono—crean incentivos para reducir las emisiones. Su éxito depende de un diseño efectivo, una verificación rigurosa y salvaguardas contra el lavado verde.  </w:t>
      </w:r>
    </w:p>
    <w:p>
      <w:r>
        <w:t xml:space="preserve">Las tecnologías digitales aportan un nuevo impulso. La blockchain mejora la transparencia y permite el comercio de energía entre pares, mientras que los análisis impulsados por IA mejoran la evaluación de riesgos y amplían el acceso a inversiones verdes.  </w:t>
      </w:r>
    </w:p>
    <w:p>
      <w:r>
        <w:t xml:space="preserve">Los intercambios de deuda por energía tienen el potencial de reducir las cargas de deuda mientras financian energías renovables. Estos acuerdos requieren una gobernanza sólida y apoyo multilateral para superar obstáculos regulatorios y de transacción.  </w:t>
      </w:r>
    </w:p>
    <w:p>
      <w:r>
        <w:t>Juntos, estas herramientas pueden movilizar billones, fortalecer la confianza y acelerar la transición hacia un modelo bajo en carbono. Este capítulo examina su potencial, desafíos y estrategias para maximizar su impacto.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