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Bienvenido al Capítulo Dos: “Pilares de una Buena Gobernanza Energética y Elaboración de Políticas.”</w:t>
      </w:r>
    </w:p>
    <w:p>
      <w:r>
        <w:t>Este capítulo reúne los bloques esenciales para una transición energética justa y efectiva. Comenzamos con cómo diseñar marcos políticos y regulatorios efectivos, introduciendo cuatro aspectos fundamentales: adaptar las políticas al contexto comprendiendo las dinámicas políticas, sociales y de género reales; garantizar la coherencia entre sectores para que las medidas se refuercen en lugar de contradecirse; adoptar enfoques adaptativos y anticipatorios que incorporen previsión, flexibilidad y retroalimentación; y fundamentar las decisiones en datos sólidos y evidencia mediante evaluaciones de impacto y monitoreo. Juntas, estas prácticas crean marcos realistas, inclusivos y preparados para el futuro para una transición energética justa.</w:t>
      </w:r>
    </w:p>
    <w:p>
      <w:r>
        <w:t>A continuación, abordamos la transparencia y la supervisión, los pilares gemelos de la confianza pública. Datos energéticos abiertos, precisos y oportunos permiten decisiones informadas por parte de los responsables políticos, inversores y comunidades. La supervisión interna y externa — desde unidades de cumplimiento regulatorio hasta auditorías independientes, auditorías de género y revisiones parlamentarias — proporciona controles y equilibrios, detecta riesgos y fortalece la rendición de cuentas. Cuando la información es accesible y comprensible, empodera tanto a los ciudadanos como a los inversores y ayuda a atraer financiamiento sostenible.</w:t>
      </w:r>
    </w:p>
    <w:p>
      <w:r>
        <w:t>Construir estos pilares también depende del fortalecimiento de capacidades. Mejorar habilidades, sistemas y capacidades institucionales en todos los niveles permite a los gobiernos y partes interesadas recopilar y analizar datos, hacer cumplir estándares, gestionar reformas complejas y comprometer a las comunidades de manera efectiva. Sin esta capacidad humana e institucional, incluso las políticas mejor diseñadas pueden fracasar.</w:t>
      </w:r>
    </w:p>
    <w:p>
      <w:r>
        <w:t>Finalmente, aplicamos estos principios a través de un marco de gobernanza probado en Nigeria. Al mapear principios centrales como participación, equidad y supervisión independiente frente a elementos de la transición como infraestructura, financiamiento e impactos sociales, las partes interesadas crearon un “mapa de calor” para identificar brechas, riesgos y oportunidades.</w:t>
      </w:r>
    </w:p>
    <w:p>
      <w:r>
        <w:t>Comencemos.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