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tres: “Instrumentos y herramientas clave de política de energía sostenible.”  </w:t>
      </w:r>
    </w:p>
    <w:p>
      <w:r>
        <w:t xml:space="preserve">El cambio hacia la energía sostenible no se trata solo de nuevas tecnologías. Se trata de utilizar las herramientas políticas adecuadas para orientar la inversión, proteger a las personas y al planeta, y hacer alcanzables los objetivos climáticos a largo plazo. Este capítulo presenta cómo los gobiernos combinan diferentes tipos de instrumentos en una estrategia coherente.  </w:t>
      </w:r>
    </w:p>
    <w:p>
      <w:r>
        <w:t xml:space="preserve">Comenzamos desde arriba con la planificación estratégica. Los países establecen visiones y metas para energía limpia, eficiencia, transporte o cocina limpia a través de planes nacionales y estrategias a largo plazo. Estos planes actúan como una brújula: traducen los compromisos globales, como el Acuerdo de París, en prioridades nacionales y ofrecen a inversores, empresas de servicios públicos y comunidades un sentido claro de dirección.  </w:t>
      </w:r>
    </w:p>
    <w:p>
      <w:r>
        <w:t xml:space="preserve">Pero los planes por sí solos no son suficientes. Las regulaciones proporcionan la certeza que necesitan los mercados. Los estándares para emisiones, edificios, electrodomésticos o cuotas de energía renovable aseguran un nivel mínimo de rendimiento, eliminan prácticas dañinas y guían dónde y cómo se construye la infraestructura. Cuando están bien diseñadas, estas reglas equilibran los objetivos ambientales con la justicia social y la innovación.  </w:t>
      </w:r>
    </w:p>
    <w:p>
      <w:r>
        <w:t xml:space="preserve">Junto con la regulación, los gobiernos dependen cada vez más de incentivos económicos. En lugar de prescribir cómo cumplir, instrumentos basados en el mercado como la fijación de precios del carbono, el comercio de emisiones o las tarifas de alimentación utilizan precios y competencia para revelar las soluciones más rentables, recompensar la tecnología limpia y atraer capital privado.  </w:t>
      </w:r>
    </w:p>
    <w:p>
      <w:r>
        <w:t xml:space="preserve">Finalmente, incluso las mejores políticas deben traducirse en proyectos financiables. Herramientas contractuales como acuerdos de compra de energía a largo plazo o asociaciones público-privadas asignan riesgos, aseguran financiamiento y garantizan que los proyectos cumplan con las promesas sociales y ambientales.  </w:t>
      </w:r>
    </w:p>
    <w:p>
      <w:r>
        <w:t>En conjunto, estos instrumentos conforman un conjunto de herramientas para gestionar la transición energética. Cuando se combinan de manera reflexiva, convierten las ambiciones climáticas abstractas en acciones concretas y financiables que ofrecen energía asequible, confiable y justa para todos.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