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Bienvenido al Capítulo 1: Sistemas de Energía y Mitigación del Clima.  </w:t>
      </w:r>
    </w:p>
    <w:p>
      <w:r>
        <w:t xml:space="preserve">En este capítulo, exploraremos de dónde provienen las emisiones relacionadas con la energía y cómo pueden reducirse. Comenzaremos mapeando toda la cadena energética. Primero, analizaremos la producción — cómo se extraen y procesan los combustibles. Luego pasaremos a la distribución — oleoductos, transporte marítimo y redes eléctricas donde ocurren fugas y pérdidas. Finalmente, examinaremos la combustión, cuando los combustibles se queman para calor, energía y movilidad. Al recorrer toda la cadena juntos, identificaremos las mayores fuentes de emisiones y evitaremos puntos ciegos.  </w:t>
      </w:r>
    </w:p>
    <w:p>
      <w:r>
        <w:t xml:space="preserve">A continuación, desglosaremos el sistema en sus principales subsectores y veremos de dónde provienen sus emisiones. Analizaremos la generación de energía, el transporte, la industria, los edificios y el uso del suelo para entender cómo contribuye cada uno al panorama general y dónde se encuentran las mayores oportunidades de reducción.  </w:t>
      </w:r>
    </w:p>
    <w:p>
      <w:r>
        <w:t xml:space="preserve">También discutiremos la dependencia de los combustibles fósiles y el encierro del carbono — por qué los activos de larga duración, los subsidios y las rutinas incrustan emisiones y aumentan los riesgos de activos varados. Juntos, abordaremos cómo sería una transición justa: reciclaje de habilidades, diversificación regional, protección social y salvaguardas de confiabilidad.  </w:t>
      </w:r>
    </w:p>
    <w:p>
      <w:r>
        <w:t xml:space="preserve">Finalmente, profundizaremos en la energía renovable. Hablaremos de su papel en la reducción de emisiones operativas cercanas a cero, en fortalecer la seguridad energética y en lograr precios más estables. Y abordaremos las barreras — desde la variabilidad y la capacidad de la red hasta el almacenamiento, el suministro de materiales críticos, la ubicación y el consentimiento comunitario — y mostraremos cómo las redes modernizadas, los recursos flexibles, las carteras limpias diversificadas, las cadenas de suministro responsables y la planificación inclusiva pueden superarlas.  </w:t>
      </w:r>
    </w:p>
    <w:p>
      <w:r>
        <w:t>Comencemos.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