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Bienvenido al Capítulo 3: El Marco DREI.  </w:t>
      </w:r>
    </w:p>
    <w:p>
      <w:r>
        <w:t xml:space="preserve">¿Cómo pueden los países reducir sistemáticamente los riesgos de inversión y acelerar el despliegue de energías renovables? En este capítulo, realizamos un recorrido práctico por el marco DREI, guiándote paso a paso a través de sus componentes principales y aplicaciones.  </w:t>
      </w:r>
    </w:p>
    <w:p>
      <w:r>
        <w:t xml:space="preserve">Comenzamos explorando cómo evaluar el entorno de riesgo para los proyectos de energías renovables, utilizando análisis estructurados y la participación de las partes interesadas para identificar las barreras que más importan. Aprenderás cómo la metodología DREI ayuda a mapear estos riesgos, cuantificar su impacto en los costos de financiamiento y priorizar dónde se necesita actuar.  </w:t>
      </w:r>
    </w:p>
    <w:p>
      <w:r>
        <w:t xml:space="preserve">A continuación, presentamos el conjunto de instrumentos públicos—reformas políticas, garantías financieras e incentivos específicos—que los gobiernos y socios pueden utilizar para abordar estos riesgos. Verás cómo se seleccionan, modelan y evalúan estas intervenciones para su efectividad en reducir el costo del capital y hacer que los proyectos sean más viables.  </w:t>
      </w:r>
    </w:p>
    <w:p>
      <w:r>
        <w:t xml:space="preserve">A lo largo de este capítulo, encontrarás estudios de caso aplicados y análisis de escenarios que ilustran cómo se puede aplicar el marco DREI en diferentes contextos. Estos ejemplos demuestran cómo los riesgos y costos de inversión podrían reducirse mediante intervenciones específicas, proporcionando valiosos conocimientos para la formulación de políticas y planificación.  </w:t>
      </w:r>
    </w:p>
    <w:p>
      <w:r>
        <w:t>Al finalizar este capítulo, comprenderás cómo la teoría se convierte en práctica y cómo el marco DREI capacita a los tomadores de decisiones para diseñar estrategias basadas en evidencia para un futuro resiliente y bajo en carbono.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