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3, qui explore comment la transition énergétique se déroule à travers le monde, à travers le prisme des cinq bureaux régionaux du PNUD. Des États arabes à l’Amérique latine et aux Caraïbes, en passant par l’Afrique, l’Asie et le Pacifique, puis l’Europe de l’Est et l’Asie centrale — chaque région fait face à des défis uniques, mais aussi à des opportunités inspirantes de changement.  </w:t>
      </w:r>
    </w:p>
    <w:p>
      <w:r>
        <w:t xml:space="preserve">Ensemble, nous examinerons les tendances en matière d’accès à l’énergie, de financement et de politiques, et verrons comment les approches régionales façonnent la transformation énergétique mondiale.  </w:t>
      </w:r>
    </w:p>
    <w:p>
      <w:r>
        <w:t xml:space="preserve">En Afrique, des solutions décentralisées comme les mini-réseaux se développent, mais le financement doit s’accélérer par rapport au vaste potentiel renouvelable de la région. En Asie et dans le Pacifique, les investissements dans l’énergie propre ont explosé, positionnant la région comme un moteur majeur de la croissance mondiale des renouvelables. Pourtant, des millions de personnes still n’ont pas accès à une électricité fiable, notamment dans les zones rurales.  </w:t>
      </w:r>
    </w:p>
    <w:p>
      <w:r>
        <w:t xml:space="preserve">Les États arabes diversifient leurs sources d’énergie, avec une capacité renouvelable en forte croissance, même si l’accessibilité et la gouvernance restent des préoccupations pressantes. En Amérique latine et dans les Caraïbes, une base solide en renouvelables a progressé, mais les lacunes en matière de cuisson propre et d’accès équitable demeurent importantes. Et en Europe de l’Est et en Asie centrale, les changements de politiques et les engagements climatiques redéfinissent les stratégies énergétiques, notamment autour du chauffage et de la réduction des émissions.  </w:t>
      </w:r>
    </w:p>
    <w:p>
      <w:r>
        <w:t xml:space="preserve">Le contexte est essentiel. L’expansion solaire dans le Sahel, l’innovation basée sur la nature dans les îles du Pacifique, ou les réformes d’efficacité en Europe de l’Est, montrent tous comment des solutions locales peuvent avoir un impact mondial à grande échelle.  </w:t>
      </w:r>
    </w:p>
    <w:p>
      <w:r>
        <w:t>Tout au long de ce chapitre, nous mettrons en lumière ces parcours divers, et comment chaque région contribue à un avenir plus durable et équitable.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