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2 : Statut actuel, tendances et obstacles à l'accès à l'énergie.  </w:t>
      </w:r>
    </w:p>
    <w:p>
      <w:r>
        <w:t xml:space="preserve">Aujourd'hui, nous explorerons le statut actuel de l'accès à l'énergie, les tendances qui définiront l'avenir de l'accès à l'énergie, et les principaux défis qui entravent l'accès universel.  </w:t>
      </w:r>
    </w:p>
    <w:p>
      <w:r>
        <w:t xml:space="preserve">Le chapitre commence par cartographier la géographie des lacunes en matière d'accès à l'énergie — à travers les régions, les divisions rurales et urbaines, les contextes fragiles et les quartiers informels — et se concentre sur les réalités stratifiées qui façonnent la pauvreté énergétique, allant des infrastructures inadéquates à l'exclusion socio-économique.  </w:t>
      </w:r>
    </w:p>
    <w:p>
      <w:r>
        <w:t xml:space="preserve">Le chapitre va également au-delà de l'électricité, en soulignant le besoin urgent de cuisson, de chauffage et de refroidissement propres. Par exemple, en 2023, seulement 74 % de la population mondiale avait accès à une cuisson propre.  </w:t>
      </w:r>
    </w:p>
    <w:p>
      <w:r>
        <w:t xml:space="preserve">Nous discuterons aussi de certains des principaux obstacles à la progression, notamment l'infrastructure insuffisante, les perturbations des chaînes d'approvisionnement, la répartition biaisée des investissements, et les défaillances politiques ou de gouvernance.  </w:t>
      </w:r>
    </w:p>
    <w:p>
      <w:r>
        <w:t xml:space="preserve">Relever ces défis nécessite des approches adaptées — renforcer les infrastructures, inciter les investissements dans des zones ciblées, et concevoir des politiques qui privilégient l'inclusion et l'accessibilité financière. Ce n'est qu'à travers des stratégies globales et spécifiques au contexte que nous pourrons nous rapprocher de l'objectif d'un accès à l'énergie universel et durable d'ici 2030.  </w:t>
      </w:r>
    </w:p>
    <w:p>
      <w:r>
        <w:t>Ce chapitre prépare le terrain pour comprendre où en est le monde aujourd'hui — et les opportunités de développement qui s'offrent pour réduire le déficit énergétique.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