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Deux : Assurer une transition juste pour les travailleurs et les communautés.  </w:t>
      </w:r>
    </w:p>
    <w:p>
      <w:r>
        <w:t xml:space="preserve">La transition énergétique concerne bien plus que l'infrastructure — elle impacte les droits, les moyens de subsistance et le bien-être social. La recherche a documenté des défis récurrents, notamment l'utilisation contestée des terres, le déplacement des communautés et les violations du travail dans les chaînes d'approvisionnement en minéraux. Les résoudre nécessite des garanties juridiques, une application efficace et la participation active de ceux qui sont le plus affectés.  </w:t>
      </w:r>
    </w:p>
    <w:p>
      <w:r>
        <w:t xml:space="preserve">La participation repose sur la légitimité. Le Consentement Libre, Préalable et Éclairé garantit aux peuples autochtones et aux communautés locales la possibilité de façonner les projets dès le départ. En Colombie, le peuple Wayúu s'engage par le biais de plateformes interculturelles qui respectent la gouvernance traditionnelle et intègrent les perspectives de genre — réduisant ainsi les conflits et permettant aux projets d'énergie renouvelable de progresser dans des conditions partagées.  </w:t>
      </w:r>
    </w:p>
    <w:p>
      <w:r>
        <w:t xml:space="preserve">Les cadres internationaux ont également leur importance. L'Accord d'Escazú de 2018, premier traité régional en Amérique latine et dans les Caraïbes, établit des engagements contraignants en matière d'accès à l'information, de participation du public et de protection des défenseurs de l'environnement. Il relie la gestion environnementale aux droits civils et politiques, offrant un modèle pour équilibrer les objectifs climatiques et l'équité.  </w:t>
      </w:r>
    </w:p>
    <w:p>
      <w:r>
        <w:t xml:space="preserve">L'emploi est une autre pierre angulaire. Selon l'IRENA, l'énergie renouvelable pourrait soutenir plus de 30 millions d'emplois d'ici 2030, mais la majorité de la croissance est concentrée dans les économies avancées, laissant derrière les régions dépendantes des combustibles fossiles. Des politiques de reconversion, d'entrepreneuriat et d'investissement ciblé sont nécessaires pour combler cet écart.  </w:t>
      </w:r>
    </w:p>
    <w:p>
      <w:r>
        <w:t xml:space="preserve">L'égalité des genres reste essentielle. En 2024, les femmes représentent moins d'un tiers de la main-d'œuvre dans le secteur des renouvelables et sont sous-représentées dans les postes de direction. Des mesures telles que les bourses, le mentorat et les politiques sensibles aux soins améliorent la participation et renforcent la performance organisationnelle.  </w:t>
      </w:r>
    </w:p>
    <w:p>
      <w:r>
        <w:t xml:space="preserve">Enfin, la protection sociale garantit que les ménages vulnérables ne soient pas laissés pour compte. Les subventions et les transferts monétaires, conçus avec la contribution des communautés et des données précises, peuvent prévenir la pauvreté énergétique et maintenir la stabilité durant la transition.  </w:t>
      </w:r>
    </w:p>
    <w:p>
      <w:r>
        <w:t>Ce chapitre explore ces dimensions et met en lumière des approches pratiques pour protéger les droits, élargir les opportunités et partager équitablement les bénéfices de l'énergie propre.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