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Bienvenue au chapitre 4 : Gouvernance stratégique et modèles de partenariat pour des transitions énergétiques justes.  </w:t>
      </w:r>
    </w:p>
    <w:p>
      <w:r>
        <w:t xml:space="preserve">Un changement énergétique équitable et durable nécessite plus que la technologie — il exige une gouvernance forte, des politiques inclusives et un financement qui privilégie l’équité.  </w:t>
      </w:r>
    </w:p>
    <w:p>
      <w:r>
        <w:t xml:space="preserve">L’approche du PNUD intègre l’inclusivité dans les stratégies nationales telles que les plans énergétiques et les engagements climatiques, en veillant à ce que les groupes vulnérables — y compris les femmes, les jeunes et les travailleurs informels — partagent les bénéfices.  </w:t>
      </w:r>
    </w:p>
    <w:p>
      <w:r>
        <w:t xml:space="preserve">Les outils basés sur les données, comme le Modèle d’évaluation des emplois verts, aident les gouvernements à anticiper les impacts et à concevoir des mesures qui protègent les communautés.  </w:t>
      </w:r>
    </w:p>
    <w:p>
      <w:r>
        <w:t xml:space="preserve">La démocratie énergétique met en avant la gouvernance participative, où les communautés ont une voix et un accès équitable aux ressources.  </w:t>
      </w:r>
    </w:p>
    <w:p>
      <w:r>
        <w:t xml:space="preserve">À Porto Rico, des projets menés par la communauté, comme la reconversion d’installations hydroélectriques, montrent comment la propriété locale peut renforcer la résilience lorsqu’elle est soutenue par des politiques favorables.  </w:t>
      </w:r>
    </w:p>
    <w:p>
      <w:r>
        <w:t xml:space="preserve">Les Partenariats pour une transition énergétique juste mobilisent des financements publics et privés pour éliminer progressivement le charbon et moderniser les réseaux.  </w:t>
      </w:r>
    </w:p>
    <w:p>
      <w:r>
        <w:t xml:space="preserve">En Indonésie, par exemple, des groupes de travail dédiés aident à aligner le financement sur les priorités locales, en mettant l’accent sur la transparence et la justice sociale.  </w:t>
      </w:r>
    </w:p>
    <w:p>
      <w:r>
        <w:t>Ensemble, la gouvernance et les partenariats constituent la base d’une transition juste — une transition qui unit les objectifs climatiques à l’équité, aux opportunités et à la durabilité.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