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2 : Secteur public et financement de l'énergie durable.  </w:t>
      </w:r>
    </w:p>
    <w:p>
      <w:r>
        <w:t xml:space="preserve">Dans ce chapitre, nous explorons comment l'action publique soutient la transition vers une énergie propre, en particulier dans les régions où le capital privé est rare. Partout dans le monde, les gouvernements et les institutions financières publiques ne se contentent pas de financer des projets, ils créent également les politiques facilitant l'investissement dans l'énergie durable.  </w:t>
      </w:r>
    </w:p>
    <w:p>
      <w:r>
        <w:t xml:space="preserve">Un engagement fort du secteur public est essentiel pour mettre en œuvre des politiques climatiques ambitieuses, attirer des investissements privés et combler l'énorme déficit de financement. Des pays comme le Maroc illustrent cette approche : des politiques ciblées, des prêts concessionnels et des financements mixtes ont soutenu de grands complexes solaires comme Noor Ouarzazate, montrant comment les fonds publics peuvent catalyser la participation privée et générer des bénéfices locaux.  </w:t>
      </w:r>
    </w:p>
    <w:p>
      <w:r>
        <w:t xml:space="preserve">Un élément clé est la réforme réglementaire et fiscale. La suppression progressive des subventions aux combustibles fossiles — qui déforment les marchés, épuisent les budgets publics et retardent l'adoption des renouvelables — libère des ressources pour des projets d'énergie propre. Lorsqu'elle est associée à des transferts monétaires ciblés ou à une protection sociale, la réforme des subventions peut protéger les ménages vulnérables tout en réorientant les dépenses vers des investissements qui favorisent le climat et le développement.  </w:t>
      </w:r>
    </w:p>
    <w:p>
      <w:r>
        <w:t xml:space="preserve">Un autre domaine essentiel est la gestion des risques. Les gouvernements et les institutions de financement du développement utilisent de plus en plus des évaluations des risques fiscaux et des tests de résistance pour identifier les vulnérabilités, anticiper les chocs du marché et renforcer la gestion des investissements publics. Ces outils aident à garantir que les projets d'énergie renouvelable restent financièrement stables et résilients dans le temps.  </w:t>
      </w:r>
    </w:p>
    <w:p>
      <w:r>
        <w:t xml:space="preserve">Ensemble, ces stratégies — investissement public stratégique, cadres politiques solides et atténuation proactive des risques — constituent la colonne vertébrale du financement de l'énergie durable. Elles réduisent l'incertitude, mobilisent le capital privé et accélèrent la transition à grande échelle nécessaire pour un avenir juste et à faible émission de carbone.  </w:t>
      </w:r>
    </w:p>
    <w:p>
      <w:r>
        <w:t>Restez avec nous pendant que nous décryptons ces leviers et montrons comment le financement public peut transformer l'ambition en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