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Bienvenue au chapitre trois : « Instruments et outils clés de la politique énergétique durable ».  </w:t>
      </w:r>
    </w:p>
    <w:p>
      <w:r>
        <w:t xml:space="preserve">Le passage à une énergie durable ne concerne pas seulement les nouvelles technologies. Il s'agit d'utiliser les bons outils politiques pour orienter les investissements, protéger les personnes et la planète, et rendre les objectifs climatiques à long terme réalisables. Ce chapitre présente comment les gouvernements combinent différents types d'instruments en une stratégie cohérente.  </w:t>
      </w:r>
    </w:p>
    <w:p>
      <w:r>
        <w:t xml:space="preserve">Nous commençons par la planification stratégique. Les pays fixent des visions et des objectifs pour une énergie propre, l'efficacité, les transports ou la cuisson propre à travers des plans nationaux et des stratégies à long terme. Ces plans agissent comme une boussole : ils traduisent les engagements mondiaux, tels que l'Accord de Paris, en priorités nationales et donnent aux investisseurs, aux services publics et aux communautés une orientation claire.  </w:t>
      </w:r>
    </w:p>
    <w:p>
      <w:r>
        <w:t xml:space="preserve">Mais les plans seuls ne suffisent pas. Les réglementations apportent la certitude dont les marchés ont besoin. Les normes concernant les émissions, les bâtiments, les appareils ou la part d'énergie renouvelable garantissent un niveau minimal de performance, éliminent progressivement les pratiques nuisibles et guident la localisation et la construction des infrastructures. Lorsqu'elles sont bien conçues, ces règles équilibrent les objectifs environnementaux avec l'équité sociale et l'innovation.  </w:t>
      </w:r>
    </w:p>
    <w:p>
      <w:r>
        <w:t xml:space="preserve">Aux côtés de la réglementation, les gouvernements s'appuient de plus en plus sur des incitations économiques. Au lieu d'imposer des modalités de conformité, des instruments basés sur le marché comme la tarification du carbone, le commerce des émissions ou les tarifs d'achat garantis utilisent les prix et la concurrence pour révéler les solutions les plus rentables, récompenser les technologies propres et attirer des capitaux privés.  </w:t>
      </w:r>
    </w:p>
    <w:p>
      <w:r>
        <w:t xml:space="preserve">Enfin, même les meilleures politiques doivent être traduites en projets bancables. Des outils contractuels tels que les accords d'achat d'électricité à long terme ou les partenariats public-privé répartissent les risques, sécurisent le financement et garantissent que les projets tiennent leurs promesses sociales et environnementales.  </w:t>
      </w:r>
    </w:p>
    <w:p>
      <w:r>
        <w:t>Ensemble, ces instruments forment une boîte à outils pour gérer la transition énergétique. Lorsqu'ils sont combinés de manière réfléchie, ils transforment les ambitions climatiques abstraites en actions concrètes et investissables, qui fournissent une énergie abordable, fiable et équitable pour tous.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