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3 : Le cadre DREI.  </w:t>
      </w:r>
    </w:p>
    <w:p>
      <w:r>
        <w:t xml:space="preserve">Comment les pays peuvent-ils réduire systématiquement les risques d'investissement et accélérer le déploiement des énergies renouvelables ? Dans ce chapitre, nous vous proposons un parcours pratique à travers le cadre DREI, en vous guidant étape par étape à travers ses composants clés et ses applications.  </w:t>
      </w:r>
    </w:p>
    <w:p>
      <w:r>
        <w:t xml:space="preserve">Nous commençons par explorer comment évaluer l’environnement de risque pour les projets d’énergies renouvelables, en utilisant une analyse structurée et l’engagement des parties prenantes pour identifier les obstacles les plus importants. Vous apprendrez comment la méthodologie DREI aide à cartographier ces risques, à quantifier leur impact sur les coûts de financement, et à prioriser les actions nécessaires.  </w:t>
      </w:r>
    </w:p>
    <w:p>
      <w:r>
        <w:t xml:space="preserve">Ensuite, nous présentons la boîte à outils des instruments publics — réformes politiques, garanties financières et incitations ciblées — que les gouvernements et partenaires peuvent utiliser pour traiter ces risques. Vous verrez comment ces interventions sont sélectionnées, modélisées et évaluées pour leur efficacité à réduire le coût du capital et à rendre les projets plus bancables.  </w:t>
      </w:r>
    </w:p>
    <w:p>
      <w:r>
        <w:t xml:space="preserve">Tout au long de ce chapitre, vous rencontrerez des études de cas appliquées et des analyses de scénarios illustrant comment le cadre DREI peut être appliqué dans différents contextes. Ces exemples montrent comment les risques et coûts d’investissement pourraient être réduits grâce à des interventions ciblées, offrant des perspectives précieuses pour la politique et la planification.  </w:t>
      </w:r>
    </w:p>
    <w:p>
      <w:r>
        <w:t>À la fin de ce chapitre, vous comprendrez comment la théorie devient pratique — et comment le cadre DREI permet aux décideurs de concevoir des stratégies fondées sur des preuves pour un avenir résilient et à faible émission de carbone.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