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3, explorando como a transição energética está se desenrolando ao redor do mundo, através da lente dos cinco escritórios regionais do PNUD. Desde os Estados Árabes até a América Latina e o Caribe, passando pela África, Ásia e Pacífico, e chegando à Europa Oriental e Ásia Central—cada região enfrenta desafios únicos, mas também oportunidades inspiradoras de mudança.  </w:t>
      </w:r>
    </w:p>
    <w:p>
      <w:r>
        <w:t xml:space="preserve">Juntos, analisaremos tendências em acesso à energia, financiamento e políticas, e veremos como abordagens regionais estão moldando a transformação energética global.  </w:t>
      </w:r>
    </w:p>
    <w:p>
      <w:r>
        <w:t xml:space="preserve">Na África, soluções descentralizadas como mini-redes estão se expandindo, mas o financiamento precisa acelerar em comparação com o vasto potencial de energias renováveis da região. Na Ásia e no Pacífico, o investimento em energia limpa aumentou, posicionando a região como um grande impulsionador do crescimento global de renováveis. Ainda assim, milhões ainda não têm acesso confiável à eletricidade, especialmente em áreas rurais.  </w:t>
      </w:r>
    </w:p>
    <w:p>
      <w:r>
        <w:t xml:space="preserve">Os Estados Árabes estão diversificando as fontes de energia, com a capacidade de renováveis crescendo rapidamente, mesmo enquanto a acessibilidade e a governança permanecem preocupações urgentes. Na América Latina e no Caribe, uma base sólida de energias renováveis avançou, mas lacunas no uso de cozinhas limpas e no acesso equitativo continuam significativas. E na Europa Oriental e Ásia Central, mudanças políticas e compromissos climáticos estão reformulando estratégias energéticas, especialmente em relação ao aquecimento e à redução de emissões.  </w:t>
      </w:r>
    </w:p>
    <w:p>
      <w:r>
        <w:t xml:space="preserve">O contexto importa. A expansão solar no Sahel, inovações baseadas na natureza nas Ilhas do Pacífico ou reformas de eficiência na Europa Oriental, mostram como soluções locais podem escalar para impacto global.  </w:t>
      </w:r>
    </w:p>
    <w:p>
      <w:r>
        <w:t>Ao longo deste capítulo, destacaremos esses caminhos diversos e como cada região está impulsionando um futuro mais sustentável e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