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Bem-vindo ao Capítulo 4: Abordagens, Métodos e Ferramentas para a Inovação Estratégica.  </w:t>
      </w:r>
    </w:p>
    <w:p>
      <w:r>
        <w:t xml:space="preserve">Como transformar visões audaciosas de transformação energética em resultados concretos?  </w:t>
      </w:r>
    </w:p>
    <w:p>
      <w:r>
        <w:t xml:space="preserve">A resposta está nas abordagens e ferramentas que escolhemos.  </w:t>
      </w:r>
    </w:p>
    <w:p>
      <w:r>
        <w:t xml:space="preserve">Neste capítulo, exploraremos quatro formas poderosas de trabalhar que podem tornar a transição mais inclusiva, equitativa e eficaz.  </w:t>
      </w:r>
    </w:p>
    <w:p>
      <w:r>
        <w:t xml:space="preserve">A abordagem de toda a sociedade envolve todos na mesa, incluindo governos, comunidades e setor privado. Trabalhando juntos, as políticas tornam-se mais inclusivas, as parcerias mais fortes e os resultados mais duradouros.  </w:t>
      </w:r>
    </w:p>
    <w:p>
      <w:r>
        <w:t xml:space="preserve">Uma abordagem baseada nos direitos humanos redefine a energia como mais do que acesso; ela é um direito fundamental. Isso garante que dignidade, equidade e inclusão social permaneçam no centro de cada iniciativa.  </w:t>
      </w:r>
    </w:p>
    <w:p>
      <w:r>
        <w:t xml:space="preserve">A integração de gênero nos lembra que mulheres e grupos marginalizados frequentemente enfrentam as maiores barreiras ao acesso à energia. Ao colocar o gênero no coração do projeto, podemos desbloquear oportunidades e criar sistemas mais justos para todos.  </w:t>
      </w:r>
    </w:p>
    <w:p>
      <w:r>
        <w:t xml:space="preserve">E a abordagem interseccional vai um passo além, mostrando como renda, geografia, raça e outros fatores se sobrepõem para moldar o acesso à energia. Essa perspectiva ajuda a adaptar soluções às realidades da vida das pessoas.  </w:t>
      </w:r>
    </w:p>
    <w:p>
      <w:r>
        <w:t xml:space="preserve">Ao aplicar essas estratégias, podemos acelerar a transição energética global e garantir que ela ofereça não apenas energia limpa, mas também justiça, equidade e oportunidades.  </w:t>
      </w:r>
    </w:p>
    <w:p>
      <w:r>
        <w:t>Vamos começar e descobrir como essas abordagens transformadoras podem transformar ideias em impacto.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